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F05F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textAlignment w:val="auto"/>
      </w:pPr>
      <w:r>
        <w:rPr>
          <w:rFonts w:hint="eastAsia"/>
          <w:lang w:val="en-US" w:eastAsia="zh-CN"/>
        </w:rPr>
        <w:t>《商业非运输运营人运行合格审定规则（征求意见稿）》</w:t>
      </w:r>
      <w:r>
        <w:t>修订说明</w:t>
      </w:r>
    </w:p>
    <w:p w14:paraId="633B29A0">
      <w:pPr>
        <w:pStyle w:val="5"/>
        <w:bidi w:val="0"/>
        <w:rPr>
          <w:rFonts w:hint="eastAsia"/>
          <w:lang w:val="en-US" w:eastAsia="zh-CN"/>
        </w:rPr>
      </w:pPr>
    </w:p>
    <w:p w14:paraId="7D2054B0">
      <w:pPr>
        <w:pStyle w:val="5"/>
        <w:bidi w:val="0"/>
      </w:pPr>
      <w:r>
        <w:rPr>
          <w:rFonts w:hint="eastAsia"/>
          <w:lang w:val="en-US" w:eastAsia="zh-CN"/>
        </w:rPr>
        <w:t>一</w:t>
      </w:r>
      <w:r>
        <w:t>、规章结构与主要内容</w:t>
      </w:r>
    </w:p>
    <w:p w14:paraId="4EB4AB93">
      <w:pPr>
        <w:bidi w:val="0"/>
        <w:rPr>
          <w:rFonts w:ascii="Times New Roman" w:hAnsi="Times New Roman"/>
          <w:sz w:val="32"/>
          <w:lang w:val="en-US" w:eastAsia="zh-CN"/>
        </w:rPr>
      </w:pPr>
      <w:r>
        <w:rPr>
          <w:rFonts w:hint="eastAsia"/>
          <w:sz w:val="32"/>
          <w:lang w:val="en-US" w:eastAsia="zh-CN"/>
        </w:rPr>
        <w:t>《商业非运输运营人运行合格审定规则》（征求意见稿）</w:t>
      </w:r>
      <w:r>
        <w:rPr>
          <w:rFonts w:ascii="Times New Roman" w:hAnsi="Times New Roman"/>
          <w:sz w:val="32"/>
          <w:lang w:val="en-US" w:eastAsia="zh-CN"/>
        </w:rPr>
        <w:t>共</w:t>
      </w:r>
      <w:r>
        <w:rPr>
          <w:rFonts w:hint="eastAsia" w:ascii="Times New Roman" w:hAnsi="Times New Roman"/>
          <w:sz w:val="32"/>
          <w:lang w:val="en-US" w:eastAsia="zh-CN"/>
        </w:rPr>
        <w:t>11章，124条，1个附件</w:t>
      </w:r>
      <w:r>
        <w:rPr>
          <w:rFonts w:ascii="Times New Roman" w:hAnsi="Times New Roman"/>
          <w:sz w:val="32"/>
          <w:lang w:val="en-US" w:eastAsia="zh-CN"/>
        </w:rPr>
        <w:t>，各章节主要内容如下：</w:t>
      </w:r>
    </w:p>
    <w:p w14:paraId="66296141">
      <w:pPr>
        <w:bidi w:val="0"/>
        <w:rPr>
          <w:rFonts w:hint="eastAsia"/>
        </w:rPr>
      </w:pPr>
      <w:r>
        <w:rPr>
          <w:rFonts w:hint="eastAsia"/>
        </w:rPr>
        <w:t>A章为总则。包括规章起草目的和依据、适</w:t>
      </w:r>
      <w:bookmarkStart w:id="0" w:name="_GoBack"/>
      <w:bookmarkEnd w:id="0"/>
      <w:r>
        <w:rPr>
          <w:rFonts w:hint="eastAsia"/>
        </w:rPr>
        <w:t>用范围、管理机构与职责、运营人技术要求及材料、许可证持有人保存和使用运营规范的责任。</w:t>
      </w:r>
    </w:p>
    <w:p w14:paraId="1E53515D">
      <w:pPr>
        <w:bidi w:val="0"/>
        <w:rPr>
          <w:rFonts w:hint="eastAsia"/>
        </w:rPr>
      </w:pPr>
      <w:r>
        <w:rPr>
          <w:rFonts w:hint="eastAsia"/>
        </w:rPr>
        <w:t>B章为管理许可证持有人的一般规定。包括许可证持有人的基本要求、劳动保护和健康管理、高原运行和临时起降点运行要求、安全管理要求、监督检查实施。</w:t>
      </w:r>
    </w:p>
    <w:p w14:paraId="44003982">
      <w:pPr>
        <w:bidi w:val="0"/>
        <w:rPr>
          <w:rFonts w:hint="eastAsia"/>
        </w:rPr>
      </w:pPr>
      <w:r>
        <w:rPr>
          <w:rFonts w:hint="eastAsia"/>
        </w:rPr>
        <w:t>C章为一般商业飞行和商业训练飞行。包括一般要求、航空器要求、人员资质要求、手册要求、特殊场景运行要求、记录要求。</w:t>
      </w:r>
    </w:p>
    <w:p w14:paraId="6BFBFBA7">
      <w:pPr>
        <w:bidi w:val="0"/>
        <w:rPr>
          <w:rFonts w:hint="eastAsia"/>
        </w:rPr>
      </w:pPr>
      <w:r>
        <w:rPr>
          <w:rFonts w:hint="eastAsia"/>
        </w:rPr>
        <w:t>D章为农林喷洒作业飞行。包括一般要求、航空器要求、人员资质要求、手册要求、农林喷洒相关运行要求、记录要求。</w:t>
      </w:r>
    </w:p>
    <w:p w14:paraId="6A256133">
      <w:pPr>
        <w:bidi w:val="0"/>
        <w:rPr>
          <w:rFonts w:hint="eastAsia"/>
        </w:rPr>
      </w:pPr>
      <w:r>
        <w:rPr>
          <w:rFonts w:hint="eastAsia"/>
        </w:rPr>
        <w:t>E章为直升机机外载荷作业飞行。包括一般要求、航空器要求、人员资质要求、手册要求、直升机机外载荷作业运行要求、记录要求。</w:t>
      </w:r>
    </w:p>
    <w:p w14:paraId="07F7DA66">
      <w:pPr>
        <w:bidi w:val="0"/>
        <w:rPr>
          <w:rFonts w:hint="eastAsia"/>
        </w:rPr>
      </w:pPr>
      <w:r>
        <w:rPr>
          <w:rFonts w:hint="eastAsia"/>
        </w:rPr>
        <w:t>F章为跳伞服务飞行。包括一般要求、航空器和跳伞装置要求、人员资质要求、手册要求、跳伞服务飞行运行要求、记录要求。</w:t>
      </w:r>
    </w:p>
    <w:p w14:paraId="5E3F9E64">
      <w:pPr>
        <w:bidi w:val="0"/>
        <w:rPr>
          <w:rFonts w:hint="eastAsia"/>
        </w:rPr>
      </w:pPr>
      <w:r>
        <w:rPr>
          <w:rFonts w:hint="eastAsia"/>
        </w:rPr>
        <w:t>G章为空中游览飞行。包括一般要求、航空器要求、人员资质要求、手册要求、空中游览飞行要求、记录要求。</w:t>
      </w:r>
    </w:p>
    <w:p w14:paraId="46F5EDDF">
      <w:pPr>
        <w:bidi w:val="0"/>
        <w:rPr>
          <w:rFonts w:hint="eastAsia"/>
        </w:rPr>
      </w:pPr>
      <w:r>
        <w:rPr>
          <w:rFonts w:hint="eastAsia"/>
        </w:rPr>
        <w:t>H章为航空器代管人。包括一般要求、代管人和所有权人的权利责任、人员资质要求、手册要求、运行要求、记录要求。</w:t>
      </w:r>
    </w:p>
    <w:p w14:paraId="712535C1">
      <w:pPr>
        <w:bidi w:val="0"/>
        <w:rPr>
          <w:rFonts w:hint="eastAsia"/>
        </w:rPr>
      </w:pPr>
      <w:r>
        <w:rPr>
          <w:rFonts w:hint="eastAsia"/>
        </w:rPr>
        <w:t>I章为航空器维修。包括一般要求、维修要求、维修实施、手册要求、工作准则、记录要求、适航状态年度评估、报告和自愿报告。</w:t>
      </w:r>
    </w:p>
    <w:p w14:paraId="63F5D015">
      <w:pPr>
        <w:bidi w:val="0"/>
        <w:rPr>
          <w:rFonts w:hint="eastAsia"/>
        </w:rPr>
      </w:pPr>
      <w:r>
        <w:rPr>
          <w:rFonts w:hint="eastAsia"/>
        </w:rPr>
        <w:t>H章为法律责任。包括一般规定、违反本规则实施运行的处罚和对人员的处罚。</w:t>
      </w:r>
    </w:p>
    <w:p w14:paraId="54ACDE09">
      <w:pPr>
        <w:bidi w:val="0"/>
        <w:rPr>
          <w:rFonts w:hint="eastAsia"/>
        </w:rPr>
      </w:pPr>
      <w:r>
        <w:rPr>
          <w:rFonts w:hint="eastAsia"/>
        </w:rPr>
        <w:t>K章为负责。包括施行。</w:t>
      </w:r>
    </w:p>
    <w:p w14:paraId="2D4C9CC7">
      <w:pPr>
        <w:bidi w:val="0"/>
      </w:pPr>
      <w:r>
        <w:rPr>
          <w:rFonts w:hint="eastAsia"/>
        </w:rPr>
        <w:t>附件为定义。</w:t>
      </w:r>
    </w:p>
    <w:p w14:paraId="472C7751">
      <w:pPr>
        <w:pStyle w:val="5"/>
        <w:bidi w:val="0"/>
      </w:pPr>
      <w:r>
        <w:rPr>
          <w:rFonts w:hint="eastAsia"/>
          <w:lang w:val="en-US" w:eastAsia="zh-CN"/>
        </w:rPr>
        <w:t>二</w:t>
      </w:r>
      <w:r>
        <w:t>、主要修订内容</w:t>
      </w:r>
    </w:p>
    <w:p w14:paraId="69F9C367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为配合通航法规体系整体调整，本次修订主要优化规章适用范围与管理逻辑，重点修订以下六个方面内容：</w:t>
      </w:r>
    </w:p>
    <w:p w14:paraId="43F4BA00">
      <w:pPr>
        <w:bidi w:val="0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（一）完善运行种类覆盖，强化全链条</w:t>
      </w:r>
      <w:r>
        <w:rPr>
          <w:rFonts w:hint="eastAsia" w:ascii="楷体_GB2312" w:hAnsi="楷体_GB2312" w:eastAsia="楷体_GB2312" w:cs="楷体_GB2312"/>
          <w:color w:val="auto"/>
          <w:lang w:val="en-US" w:eastAsia="zh-CN"/>
        </w:rPr>
        <w:t>监管</w:t>
      </w:r>
      <w:r>
        <w:rPr>
          <w:rFonts w:hint="eastAsia" w:ascii="楷体_GB2312" w:hAnsi="楷体_GB2312" w:eastAsia="楷体_GB2312" w:cs="楷体_GB2312"/>
          <w:lang w:val="en-US" w:eastAsia="zh-CN"/>
        </w:rPr>
        <w:t>。</w:t>
      </w:r>
    </w:p>
    <w:p w14:paraId="3781675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增一般商业飞行和商业训练飞行专项管理要求，将一般商业飞行重新纳入许可管理范畴，明确航空器适用范围、运行手册编制规范，按照经营项目和运行场景，细化具体运行要求，有效缓解仅持有经营许可证的“单证”公司安全监管风险，同时落实《民航法》关于驾驶员训练应当取得训练合格证的许可要求。</w:t>
      </w:r>
    </w:p>
    <w:p w14:paraId="7715CC83">
      <w:pPr>
        <w:bidi w:val="0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（二）衔接配套规章，优化许可管理。</w:t>
      </w:r>
    </w:p>
    <w:p w14:paraId="153F610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衔接配套《通用航空运营许可程序规定》，聚焦商业非运输运行特点，补充运营许可证申请条件和运营规范的特殊管理要求，实现“许可程序+运行标准”的制度衔接，构建逻辑闭环的监管体系。</w:t>
      </w:r>
    </w:p>
    <w:p w14:paraId="23B80A31">
      <w:pPr>
        <w:bidi w:val="0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（三）加强空中游览管理，细化场景分类管控要求。</w:t>
      </w:r>
    </w:p>
    <w:p w14:paraId="79A31DB4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将CCAR-135部中的空中游览飞行纳入CCAR-136部统一管理，固化《空中游览和体验飞行》咨询通告的实践经验。明确空中游览的定义及适用航空器范围，补充运行要求、高度限制、乘员人数等管理要素，细化运行场地要求，规范人口稠密区和水面上空敏感区域的运行要求。</w:t>
      </w:r>
    </w:p>
    <w:p w14:paraId="0D23A2EB">
      <w:pPr>
        <w:bidi w:val="0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（四）强化高风险作业管控，压实安全责任。</w:t>
      </w:r>
    </w:p>
    <w:p w14:paraId="7867B522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针对农林喷洒作业飞行、直升机机外载荷作业飞行、跳伞服务飞行和一般商业飞行中部分特殊场景等高危作业类型，细化管理要素：一是明确机长飞行经历、专业技能考核等硬性标准；二是完善作业限制、特殊环境运行程序及运行手册编制要求；三是增加作业环境勘察、作业风险评估等相关要求。</w:t>
      </w:r>
    </w:p>
    <w:p w14:paraId="564EE118">
      <w:pPr>
        <w:bidi w:val="0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（五）补充特殊场景规范，完善安全监管体系。</w:t>
      </w:r>
    </w:p>
    <w:p w14:paraId="35BB42D2">
      <w:pPr>
        <w:bidi w:val="0"/>
      </w:pPr>
      <w:r>
        <w:rPr>
          <w:rFonts w:hint="eastAsia"/>
          <w:lang w:val="en-US" w:eastAsia="zh-CN"/>
        </w:rPr>
        <w:t>结合商业非运输运行地域广、环境复杂等特点，新增高海拔机场和区域运行、起降场地管理、运行风险评估等相关规定，完善特殊运行场景的安全管理要求。</w:t>
      </w:r>
    </w:p>
    <w:p w14:paraId="27A91E71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hint="eastAsia" w:ascii="Times New Roman" w:hAnsi="Times New Roman" w:eastAsia="楷体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（六）新增维修管理要求，压实适航责任。</w:t>
      </w:r>
    </w:p>
    <w:p w14:paraId="2E03974A">
      <w:pPr>
        <w:numPr>
          <w:ilvl w:val="0"/>
          <w:numId w:val="0"/>
        </w:numPr>
        <w:autoSpaceDE w:val="0"/>
        <w:autoSpaceDN w:val="0"/>
        <w:bidi w:val="0"/>
        <w:adjustRightInd w:val="0"/>
        <w:spacing w:line="360" w:lineRule="auto"/>
        <w:ind w:firstLine="640"/>
        <w:jc w:val="left"/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针对航空器维修管理作出专项规</w:t>
      </w:r>
      <w:r>
        <w:rPr>
          <w:rFonts w:hint="eastAsia"/>
          <w:sz w:val="32"/>
          <w:szCs w:val="32"/>
          <w:lang w:val="en-US" w:eastAsia="zh-CN"/>
        </w:rPr>
        <w:t>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，明确维修管理架构，健全人员管理机制，规范维修实施流程，完善记录与评估体系，明确安全报告要求。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3413D7"/>
    <w:rsid w:val="0ACF52BF"/>
    <w:rsid w:val="0C4F27DF"/>
    <w:rsid w:val="0E063CDE"/>
    <w:rsid w:val="14430A9C"/>
    <w:rsid w:val="15347D0B"/>
    <w:rsid w:val="175B1052"/>
    <w:rsid w:val="188B5687"/>
    <w:rsid w:val="1B1117F5"/>
    <w:rsid w:val="1DBB7A07"/>
    <w:rsid w:val="1F575C81"/>
    <w:rsid w:val="26252980"/>
    <w:rsid w:val="2A7863E0"/>
    <w:rsid w:val="344E69AE"/>
    <w:rsid w:val="37907CB6"/>
    <w:rsid w:val="3C031CEC"/>
    <w:rsid w:val="3C706E90"/>
    <w:rsid w:val="3E290C9C"/>
    <w:rsid w:val="3F5D2A3C"/>
    <w:rsid w:val="46855DA4"/>
    <w:rsid w:val="479D0C07"/>
    <w:rsid w:val="497B68E4"/>
    <w:rsid w:val="4CC96874"/>
    <w:rsid w:val="4CEE1C41"/>
    <w:rsid w:val="4CFF0E6F"/>
    <w:rsid w:val="4E8B20E9"/>
    <w:rsid w:val="50575F4B"/>
    <w:rsid w:val="5183368B"/>
    <w:rsid w:val="54363090"/>
    <w:rsid w:val="56A6798E"/>
    <w:rsid w:val="57925AB5"/>
    <w:rsid w:val="605809B2"/>
    <w:rsid w:val="687E571F"/>
    <w:rsid w:val="69E84DCE"/>
    <w:rsid w:val="6A201030"/>
    <w:rsid w:val="6A524961"/>
    <w:rsid w:val="6C232F34"/>
    <w:rsid w:val="6E3D2EB1"/>
    <w:rsid w:val="710B6746"/>
    <w:rsid w:val="7141437C"/>
    <w:rsid w:val="74123437"/>
    <w:rsid w:val="74AF48AA"/>
    <w:rsid w:val="7564A3AA"/>
    <w:rsid w:val="7789197E"/>
    <w:rsid w:val="783B4AD0"/>
    <w:rsid w:val="9F7ECA94"/>
    <w:rsid w:val="CFFFAB1C"/>
    <w:rsid w:val="F7B60142"/>
    <w:rsid w:val="FFBDD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="宋体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100" w:beforeLines="100" w:beforeAutospacing="0" w:after="100" w:afterLines="100" w:afterAutospacing="0" w:line="7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Autospacing="0" w:afterAutospacing="0" w:line="560" w:lineRule="exact"/>
      <w:jc w:val="left"/>
      <w:outlineLvl w:val="1"/>
    </w:pPr>
    <w:rPr>
      <w:rFonts w:ascii="Arial" w:hAnsi="Arial" w:eastAsia="黑体"/>
    </w:rPr>
  </w:style>
  <w:style w:type="paragraph" w:styleId="6">
    <w:name w:val="heading 3"/>
    <w:basedOn w:val="1"/>
    <w:next w:val="1"/>
    <w:link w:val="10"/>
    <w:qFormat/>
    <w:uiPriority w:val="0"/>
    <w:pPr>
      <w:keepNext/>
      <w:keepLines/>
      <w:spacing w:beforeAutospacing="0" w:afterAutospacing="0" w:line="560" w:lineRule="exact"/>
      <w:jc w:val="left"/>
      <w:outlineLvl w:val="2"/>
    </w:pPr>
    <w:rPr>
      <w:rFonts w:eastAsia="楷体_GB2312"/>
      <w:b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endnote text"/>
    <w:qFormat/>
    <w:uiPriority w:val="99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character" w:customStyle="1" w:styleId="10">
    <w:name w:val="标题 3 Char"/>
    <w:link w:val="6"/>
    <w:qFormat/>
    <w:uiPriority w:val="0"/>
    <w:rPr>
      <w:rFonts w:eastAsia="楷体_GB2312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1428</Words>
  <Characters>1445</Characters>
  <Paragraphs>48</Paragraphs>
  <TotalTime>0</TotalTime>
  <ScaleCrop>false</ScaleCrop>
  <LinksUpToDate>false</LinksUpToDate>
  <CharactersWithSpaces>1445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2026-08-05T20:57:00Z</dcterms:created>
  <dc:creator>汤杰</dc:creator>
  <cp:lastModifiedBy>刘海舟</cp:lastModifiedBy>
  <cp:lastPrinted>2026-08-06T16:05:00Z</cp:lastPrinted>
  <dcterms:modified xsi:type="dcterms:W3CDTF">2026-10-16T09:39:30Z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A104499D57834275954962D795AD58DA_13</vt:lpwstr>
  </property>
  <property fmtid="{D5CDD505-2E9C-101B-9397-08002B2CF9AE}" pid="4" name="KSOTemplateDocerSaveRecord">
    <vt:lpwstr>eyJoZGlkIjoiODQ0ZjIwMGVhNjUzYjhmZjliNjJjZjM3NjJhMjQxZjEiLCJ1c2VySWQiOiIzOTcxMjA1OTIifQ==</vt:lpwstr>
  </property>
</Properties>
</file>