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2CF2A3">
      <w:pPr>
        <w:pStyle w:val="5"/>
        <w:spacing w:line="251" w:lineRule="auto"/>
        <w:rPr>
          <w:color w:val="auto"/>
          <w:highlight w:val="none"/>
        </w:rPr>
      </w:pPr>
    </w:p>
    <w:p w14:paraId="125453CF">
      <w:pPr>
        <w:spacing w:before="301" w:line="703" w:lineRule="exact"/>
        <w:ind w:left="0" w:leftChars="0" w:firstLine="0" w:firstLineChars="0"/>
        <w:jc w:val="center"/>
        <w:outlineLvl w:val="0"/>
        <w:rPr>
          <w:rFonts w:hint="eastAsia" w:ascii="方正小标宋简体" w:hAnsi="方正小标宋简体" w:eastAsia="方正小标宋简体" w:cs="方正小标宋简体"/>
          <w:color w:val="auto"/>
          <w:spacing w:val="11"/>
          <w:position w:val="-3"/>
          <w:sz w:val="44"/>
          <w:szCs w:val="44"/>
          <w:highlight w:val="none"/>
        </w:rPr>
      </w:pPr>
      <w:r>
        <w:rPr>
          <w:rFonts w:hint="eastAsia" w:ascii="方正小标宋简体" w:hAnsi="方正小标宋简体" w:eastAsia="方正小标宋简体" w:cs="方正小标宋简体"/>
          <w:color w:val="auto"/>
          <w:spacing w:val="16"/>
          <w:position w:val="-3"/>
          <w:sz w:val="44"/>
          <w:szCs w:val="44"/>
          <w:highlight w:val="none"/>
        </w:rPr>
        <w:t>民用航空人员体检合格证</w:t>
      </w:r>
      <w:r>
        <w:rPr>
          <w:rFonts w:hint="eastAsia" w:ascii="方正小标宋简体" w:hAnsi="方正小标宋简体" w:eastAsia="方正小标宋简体" w:cs="方正小标宋简体"/>
          <w:color w:val="auto"/>
          <w:spacing w:val="11"/>
          <w:position w:val="-3"/>
          <w:sz w:val="44"/>
          <w:szCs w:val="44"/>
          <w:highlight w:val="none"/>
        </w:rPr>
        <w:t>管理规则</w:t>
      </w:r>
    </w:p>
    <w:p w14:paraId="561BD88C">
      <w:pPr>
        <w:spacing w:before="0" w:beforeLines="0" w:after="0" w:afterLines="0" w:line="240" w:lineRule="auto"/>
        <w:ind w:left="0" w:leftChars="0" w:right="0" w:rightChars="0" w:firstLine="0" w:firstLineChars="0"/>
        <w:jc w:val="center"/>
        <w:rPr>
          <w:rFonts w:hint="default" w:ascii="方正小标宋简体" w:hAnsi="方正小标宋简体" w:eastAsia="方正小标宋简体" w:cs="方正小标宋简体"/>
          <w:color w:val="auto"/>
          <w:spacing w:val="11"/>
          <w:position w:val="-3"/>
          <w:sz w:val="44"/>
          <w:szCs w:val="44"/>
          <w:highlight w:val="none"/>
          <w:lang w:val="en-US" w:eastAsia="zh-CN"/>
        </w:rPr>
      </w:pPr>
      <w:r>
        <w:rPr>
          <w:rFonts w:hint="eastAsia" w:ascii="方正小标宋简体" w:hAnsi="方正小标宋简体" w:eastAsia="方正小标宋简体" w:cs="方正小标宋简体"/>
          <w:color w:val="auto"/>
          <w:spacing w:val="11"/>
          <w:position w:val="-3"/>
          <w:sz w:val="44"/>
          <w:szCs w:val="44"/>
          <w:highlight w:val="none"/>
          <w:lang w:eastAsia="zh-CN"/>
        </w:rPr>
        <w:t>（</w:t>
      </w:r>
      <w:r>
        <w:rPr>
          <w:rFonts w:hint="eastAsia" w:ascii="方正小标宋简体" w:hAnsi="方正小标宋简体" w:eastAsia="方正小标宋简体" w:cs="方正小标宋简体"/>
          <w:color w:val="auto"/>
          <w:spacing w:val="11"/>
          <w:position w:val="-3"/>
          <w:sz w:val="44"/>
          <w:szCs w:val="44"/>
          <w:highlight w:val="none"/>
          <w:lang w:val="en-US" w:eastAsia="zh-CN"/>
        </w:rPr>
        <w:t>征求意见稿）</w:t>
      </w:r>
    </w:p>
    <w:p w14:paraId="0443256C">
      <w:pPr>
        <w:pStyle w:val="2"/>
        <w:bidi w:val="0"/>
        <w:jc w:val="center"/>
        <w:rPr>
          <w:rFonts w:hint="eastAsia" w:ascii="黑体" w:hAnsi="黑体" w:eastAsia="黑体" w:cs="黑体"/>
          <w:b w:val="0"/>
          <w:bCs/>
          <w:color w:val="auto"/>
          <w:highlight w:val="none"/>
          <w:lang w:val="en-US" w:eastAsia="zh-CN"/>
        </w:rPr>
      </w:pPr>
      <w:bookmarkStart w:id="0" w:name="_Toc19125"/>
      <w:r>
        <w:rPr>
          <w:rFonts w:hint="eastAsia" w:ascii="黑体" w:hAnsi="黑体" w:eastAsia="黑体" w:cs="黑体"/>
          <w:b w:val="0"/>
          <w:bCs/>
          <w:color w:val="auto"/>
          <w:highlight w:val="none"/>
          <w:lang w:val="en-US" w:eastAsia="zh-CN"/>
        </w:rPr>
        <w:t>A章 总  则</w:t>
      </w:r>
      <w:bookmarkEnd w:id="0"/>
    </w:p>
    <w:p w14:paraId="2B994F73">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bookmarkStart w:id="1" w:name="_Toc21418"/>
      <w:r>
        <w:rPr>
          <w:rStyle w:val="14"/>
          <w:rFonts w:hint="eastAsia" w:ascii="黑体" w:hAnsi="黑体" w:eastAsia="黑体" w:cs="黑体"/>
          <w:b w:val="0"/>
          <w:bCs/>
          <w:color w:val="auto"/>
          <w:highlight w:val="none"/>
          <w:lang w:val="en-US" w:eastAsia="zh-CN"/>
        </w:rPr>
        <w:t>第67.1条 目的和依据</w:t>
      </w:r>
      <w:r>
        <w:rPr>
          <w:rStyle w:val="14"/>
          <w:rFonts w:hint="eastAsia" w:ascii="黑体" w:hAnsi="黑体" w:eastAsia="黑体" w:cs="黑体"/>
          <w:color w:val="auto"/>
          <w:highlight w:val="none"/>
          <w:lang w:val="en-US" w:eastAsia="zh-CN"/>
        </w:rPr>
        <w:br w:type="textWrapping"/>
      </w:r>
      <w:bookmarkEnd w:id="1"/>
      <w:r>
        <w:rPr>
          <w:rFonts w:hint="eastAsia" w:ascii="仿宋_GB2312" w:hAnsi="仿宋_GB2312" w:eastAsia="仿宋_GB2312" w:cs="仿宋_GB2312"/>
          <w:i w:val="0"/>
          <w:iCs w:val="0"/>
          <w:color w:val="auto"/>
          <w:kern w:val="0"/>
          <w:sz w:val="32"/>
          <w:szCs w:val="32"/>
          <w:highlight w:val="none"/>
          <w:u w:val="none"/>
          <w:lang w:val="en-US" w:eastAsia="zh-CN" w:bidi="ar"/>
        </w:rPr>
        <w:t xml:space="preserve">    </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为了保证空勤人员和空中交通管制员身心状况符合履行职责和飞行安全的要求，保障其身心健康，加强航空卫生体系建设，根据《中华人民共和国民用航空法》，制定本规则。</w:t>
      </w:r>
    </w:p>
    <w:p w14:paraId="0D5DDAB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both"/>
        <w:textAlignment w:val="top"/>
        <w:rPr>
          <w:rStyle w:val="14"/>
          <w:rFonts w:hint="eastAsia" w:ascii="黑体" w:hAnsi="黑体" w:eastAsia="黑体" w:cs="黑体"/>
          <w:b w:val="0"/>
          <w:bCs/>
          <w:color w:val="auto"/>
          <w:highlight w:val="none"/>
          <w:lang w:val="en-US" w:eastAsia="zh-CN"/>
        </w:rPr>
      </w:pPr>
      <w:bookmarkStart w:id="2" w:name="_Toc7017"/>
      <w:r>
        <w:rPr>
          <w:rStyle w:val="14"/>
          <w:rFonts w:hint="eastAsia" w:ascii="黑体" w:hAnsi="黑体" w:eastAsia="黑体" w:cs="黑体"/>
          <w:b w:val="0"/>
          <w:bCs/>
          <w:color w:val="auto"/>
          <w:highlight w:val="none"/>
          <w:lang w:val="en-US" w:eastAsia="zh-CN"/>
        </w:rPr>
        <w:t>第67.3条</w:t>
      </w:r>
      <w:r>
        <w:rPr>
          <w:rStyle w:val="14"/>
          <w:rFonts w:hint="eastAsia" w:ascii="黑体" w:hAnsi="黑体" w:eastAsia="黑体" w:cs="黑体"/>
          <w:b w:val="0"/>
          <w:bCs/>
          <w:color w:val="auto"/>
          <w:highlight w:val="none"/>
          <w:lang w:val="en-US" w:eastAsia="zh"/>
        </w:rPr>
        <w:t xml:space="preserve"> </w:t>
      </w:r>
      <w:r>
        <w:rPr>
          <w:rStyle w:val="14"/>
          <w:rFonts w:hint="eastAsia" w:ascii="黑体" w:hAnsi="黑体" w:eastAsia="黑体" w:cs="黑体"/>
          <w:b w:val="0"/>
          <w:bCs/>
          <w:color w:val="auto"/>
          <w:highlight w:val="none"/>
          <w:lang w:val="en-US" w:eastAsia="zh-CN"/>
        </w:rPr>
        <w:t>适用范围</w:t>
      </w:r>
    </w:p>
    <w:bookmarkEnd w:id="2"/>
    <w:p w14:paraId="66C4EC2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本规则适用于空勤人员和空中交通管制员的体检鉴定</w:t>
      </w:r>
      <w:r>
        <w:rPr>
          <w:rFonts w:hint="eastAsia" w:ascii="仿宋_GB2312" w:hAnsi="仿宋_GB2312" w:eastAsia="仿宋_GB2312" w:cs="仿宋_GB2312"/>
          <w:i w:val="0"/>
          <w:iCs w:val="0"/>
          <w:strike w:val="0"/>
          <w:dstrike w:val="0"/>
          <w:color w:val="auto"/>
          <w:kern w:val="0"/>
          <w:sz w:val="32"/>
          <w:szCs w:val="32"/>
          <w:highlight w:val="none"/>
          <w:u w:val="none"/>
          <w:lang w:val="en-US" w:eastAsia="zh" w:bidi="ar"/>
        </w:rPr>
        <w:t>、</w:t>
      </w: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体检合格证</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管理及健康安全管理有关工作。</w:t>
      </w:r>
    </w:p>
    <w:p w14:paraId="0969197A">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default" w:ascii="仿宋_GB2312" w:hAnsi="仿宋_GB2312" w:eastAsia="仿宋_GB2312" w:cs="仿宋_GB2312"/>
          <w:i w:val="0"/>
          <w:iCs w:val="0"/>
          <w:color w:val="auto"/>
          <w:kern w:val="0"/>
          <w:sz w:val="32"/>
          <w:szCs w:val="32"/>
          <w:highlight w:val="none"/>
          <w:u w:val="none"/>
          <w:lang w:val="en-US" w:eastAsia="zh-CN" w:bidi="ar"/>
        </w:rPr>
      </w:pPr>
      <w:bookmarkStart w:id="3" w:name="_Toc15235"/>
      <w:r>
        <w:rPr>
          <w:rStyle w:val="14"/>
          <w:rFonts w:hint="eastAsia" w:ascii="黑体" w:hAnsi="黑体" w:eastAsia="黑体" w:cs="黑体"/>
          <w:b w:val="0"/>
          <w:bCs/>
          <w:color w:val="auto"/>
          <w:highlight w:val="none"/>
          <w:lang w:val="en-US" w:eastAsia="zh-CN"/>
        </w:rPr>
        <w:t>第67.5条 机构与职责</w:t>
      </w:r>
      <w:r>
        <w:rPr>
          <w:rStyle w:val="14"/>
          <w:rFonts w:hint="eastAsia" w:ascii="黑体" w:hAnsi="黑体" w:eastAsia="黑体" w:cs="黑体"/>
          <w:b/>
          <w:color w:val="auto"/>
          <w:highlight w:val="none"/>
          <w:lang w:val="en-US" w:eastAsia="zh-CN"/>
        </w:rPr>
        <w:br w:type="textWrapping"/>
      </w:r>
      <w:bookmarkEnd w:id="3"/>
      <w:r>
        <w:rPr>
          <w:rFonts w:hint="eastAsia" w:ascii="仿宋_GB2312" w:hAnsi="仿宋_GB2312" w:eastAsia="仿宋_GB2312" w:cs="仿宋_GB2312"/>
          <w:i w:val="0"/>
          <w:iCs w:val="0"/>
          <w:color w:val="auto"/>
          <w:kern w:val="0"/>
          <w:sz w:val="32"/>
          <w:szCs w:val="32"/>
          <w:highlight w:val="none"/>
          <w:u w:val="none"/>
          <w:lang w:val="en-US" w:eastAsia="zh-CN" w:bidi="ar"/>
        </w:rPr>
        <w:t xml:space="preserve">    （a）中国民用航空局（以下简称中国民航局）负责</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制定航空卫生安全管理和健康管理政策，负责全国</w:t>
      </w:r>
      <w:r>
        <w:rPr>
          <w:rFonts w:hint="eastAsia" w:ascii="仿宋_GB2312" w:hAnsi="仿宋_GB2312" w:eastAsia="仿宋_GB2312" w:cs="仿宋_GB2312"/>
          <w:b w:val="0"/>
          <w:bCs w:val="0"/>
          <w:i w:val="0"/>
          <w:iCs w:val="0"/>
          <w:strike w:val="0"/>
          <w:dstrike w:val="0"/>
          <w:color w:val="auto"/>
          <w:kern w:val="0"/>
          <w:sz w:val="32"/>
          <w:szCs w:val="32"/>
          <w:highlight w:val="none"/>
          <w:u w:val="none"/>
          <w:lang w:val="en-US" w:eastAsia="zh-CN" w:bidi="ar"/>
        </w:rPr>
        <w:t>体检合格证</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、体检医师和</w:t>
      </w:r>
      <w:r>
        <w:rPr>
          <w:rFonts w:hint="eastAsia" w:ascii="仿宋_GB2312" w:hAnsi="仿宋_GB2312" w:eastAsia="仿宋_GB2312" w:cs="仿宋_GB2312"/>
          <w:i w:val="0"/>
          <w:iCs w:val="0"/>
          <w:color w:val="auto"/>
          <w:kern w:val="0"/>
          <w:sz w:val="32"/>
          <w:szCs w:val="32"/>
          <w:highlight w:val="none"/>
          <w:u w:val="none"/>
          <w:lang w:val="en-US" w:eastAsia="zh-CN" w:bidi="ar"/>
        </w:rPr>
        <w:t>民用航空人员体检鉴定机构</w:t>
      </w: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的管理工作</w:t>
      </w:r>
      <w:r>
        <w:rPr>
          <w:rFonts w:hint="eastAsia" w:ascii="仿宋_GB2312" w:hAnsi="仿宋_GB2312" w:eastAsia="仿宋_GB2312" w:cs="仿宋_GB2312"/>
          <w:i w:val="0"/>
          <w:iCs w:val="0"/>
          <w:color w:val="auto"/>
          <w:kern w:val="0"/>
          <w:sz w:val="32"/>
          <w:szCs w:val="32"/>
          <w:highlight w:val="none"/>
          <w:u w:val="none"/>
          <w:lang w:val="en-US" w:eastAsia="zh-CN" w:bidi="ar"/>
        </w:rPr>
        <w:t>。</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CN" w:bidi="ar"/>
        </w:rPr>
        <w:t xml:space="preserve">    （b）中国民用航空地区管理局（以下简称民航地区管理局）负责本地区</w:t>
      </w:r>
      <w:r>
        <w:rPr>
          <w:rFonts w:hint="eastAsia" w:ascii="仿宋_GB2312" w:hAnsi="仿宋_GB2312" w:eastAsia="仿宋_GB2312" w:cs="仿宋_GB2312"/>
          <w:b w:val="0"/>
          <w:bCs w:val="0"/>
          <w:i w:val="0"/>
          <w:iCs w:val="0"/>
          <w:strike w:val="0"/>
          <w:dstrike w:val="0"/>
          <w:color w:val="auto"/>
          <w:kern w:val="0"/>
          <w:sz w:val="32"/>
          <w:szCs w:val="32"/>
          <w:highlight w:val="none"/>
          <w:u w:val="none"/>
          <w:lang w:val="en-US" w:eastAsia="zh-CN" w:bidi="ar"/>
        </w:rPr>
        <w:t>体检合格证的许可</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，对本地区体检合格证、体检鉴定、体检医师、</w:t>
      </w:r>
      <w:r>
        <w:rPr>
          <w:rFonts w:hint="eastAsia" w:ascii="仿宋_GB2312" w:hAnsi="仿宋_GB2312" w:eastAsia="仿宋_GB2312" w:cs="仿宋_GB2312"/>
          <w:i w:val="0"/>
          <w:iCs w:val="0"/>
          <w:color w:val="auto"/>
          <w:kern w:val="0"/>
          <w:sz w:val="32"/>
          <w:szCs w:val="32"/>
          <w:highlight w:val="none"/>
          <w:u w:val="none"/>
          <w:lang w:val="en-US" w:eastAsia="zh-CN" w:bidi="ar"/>
        </w:rPr>
        <w:t>民用航空人员体检鉴定机构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和航空人员健康管理</w:t>
      </w:r>
      <w:r>
        <w:rPr>
          <w:rFonts w:hint="eastAsia" w:ascii="仿宋_GB2312" w:hAnsi="仿宋_GB2312" w:eastAsia="仿宋_GB2312" w:cs="仿宋_GB2312"/>
          <w:i w:val="0"/>
          <w:iCs w:val="0"/>
          <w:color w:val="auto"/>
          <w:kern w:val="0"/>
          <w:sz w:val="32"/>
          <w:szCs w:val="32"/>
          <w:highlight w:val="none"/>
          <w:u w:val="none"/>
          <w:lang w:val="en-US" w:eastAsia="zh-CN" w:bidi="ar"/>
        </w:rPr>
        <w:t>工作实施监督检查。</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CN" w:bidi="ar"/>
        </w:rPr>
        <w:t xml:space="preserve">    （c）民用航空人员体检鉴定机构（以下简称体检机构）是指符合中国民航局要求的体格检查单位，负责组织体检医师开展体检鉴定工作。推荐符合要求的体检鉴定、临床医学专家承担空勤人员和空中交通管制员疑难或者特殊病例的体检鉴定、特许体检鉴定、体检鉴定标准和专业技术研究等任务。</w:t>
      </w:r>
    </w:p>
    <w:p w14:paraId="210512EC">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d）民用航空人员运行单位应当建立民用航空人员健康管理制度，配备合格和足够的保障人员，构建健康安全文化，加强身体健康管理，强化关心关爱，强化心理健康维护和危机干预，为航空人员保持良好的身心状态提供保障。</w:t>
      </w:r>
    </w:p>
    <w:p w14:paraId="26A1415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both"/>
        <w:textAlignment w:val="top"/>
        <w:rPr>
          <w:rStyle w:val="14"/>
          <w:rFonts w:hint="eastAsia" w:ascii="黑体" w:hAnsi="黑体" w:eastAsia="黑体" w:cs="黑体"/>
          <w:b w:val="0"/>
          <w:bCs/>
          <w:color w:val="auto"/>
          <w:highlight w:val="none"/>
          <w:lang w:val="en-US" w:eastAsia="zh-CN"/>
        </w:rPr>
      </w:pPr>
      <w:bookmarkStart w:id="4" w:name="_Toc22436"/>
      <w:r>
        <w:rPr>
          <w:rStyle w:val="14"/>
          <w:rFonts w:hint="eastAsia" w:ascii="黑体" w:hAnsi="黑体" w:eastAsia="黑体" w:cs="黑体"/>
          <w:b w:val="0"/>
          <w:bCs/>
          <w:color w:val="auto"/>
          <w:highlight w:val="none"/>
          <w:lang w:val="en-US" w:eastAsia="zh-CN"/>
        </w:rPr>
        <w:t>第67.7条 体检合格证的要求</w:t>
      </w:r>
    </w:p>
    <w:bookmarkEnd w:id="4"/>
    <w:p w14:paraId="5454B4F6">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pP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空勤人员、空中交通管制员履行职责时，应当持有依照本规则取得的有效体检合格证或者体检合格证认可证书，满足体检合格证或者认可证书上载明的限制要求。</w:t>
      </w:r>
    </w:p>
    <w:p w14:paraId="47A992FC">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bookmarkStart w:id="5" w:name="_Toc9892"/>
      <w:r>
        <w:rPr>
          <w:rStyle w:val="14"/>
          <w:rFonts w:hint="eastAsia" w:ascii="黑体" w:hAnsi="黑体" w:eastAsia="黑体" w:cs="黑体"/>
          <w:b w:val="0"/>
          <w:bCs/>
          <w:color w:val="auto"/>
          <w:highlight w:val="none"/>
          <w:lang w:val="en-US" w:eastAsia="zh-CN"/>
        </w:rPr>
        <w:t>第67.8条 安全管理</w:t>
      </w:r>
      <w:r>
        <w:rPr>
          <w:rStyle w:val="14"/>
          <w:rFonts w:hint="eastAsia" w:ascii="黑体" w:hAnsi="黑体" w:eastAsia="黑体" w:cs="黑体"/>
          <w:b/>
          <w:color w:val="auto"/>
          <w:highlight w:val="none"/>
          <w:lang w:val="en-US" w:eastAsia="zh-CN"/>
        </w:rPr>
        <w:br w:type="textWrapping"/>
      </w:r>
      <w:bookmarkEnd w:id="5"/>
      <w:r>
        <w:rPr>
          <w:rFonts w:hint="eastAsia" w:ascii="仿宋_GB2312" w:hAnsi="仿宋_GB2312" w:eastAsia="仿宋_GB2312" w:cs="仿宋_GB2312"/>
          <w:b w:val="0"/>
          <w:bCs w:val="0"/>
          <w:i w:val="0"/>
          <w:iCs w:val="0"/>
          <w:color w:val="auto"/>
          <w:kern w:val="0"/>
          <w:sz w:val="32"/>
          <w:szCs w:val="32"/>
          <w:highlight w:val="none"/>
          <w:u w:val="none"/>
          <w:lang w:val="en-US" w:eastAsia="zh-CN" w:bidi="ar"/>
        </w:rPr>
        <w:t xml:space="preserve">    体检机构应当建立安全管理体系，至少应定期分析体检结果、持续评估体检程序，以查明体检风险增加的领域。</w:t>
      </w:r>
    </w:p>
    <w:p w14:paraId="7E02B77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bookmarkStart w:id="6" w:name="_Toc17767"/>
      <w:r>
        <w:rPr>
          <w:rStyle w:val="14"/>
          <w:rFonts w:hint="eastAsia" w:ascii="黑体" w:hAnsi="黑体" w:eastAsia="黑体" w:cs="黑体"/>
          <w:b w:val="0"/>
          <w:bCs/>
          <w:color w:val="auto"/>
          <w:highlight w:val="none"/>
          <w:lang w:val="en-US" w:eastAsia="zh-CN"/>
        </w:rPr>
        <w:t>第67.9条 定义</w:t>
      </w:r>
      <w:r>
        <w:rPr>
          <w:rStyle w:val="14"/>
          <w:rFonts w:hint="eastAsia" w:ascii="黑体" w:hAnsi="黑体" w:eastAsia="黑体" w:cs="黑体"/>
          <w:b/>
          <w:color w:val="auto"/>
          <w:highlight w:val="none"/>
          <w:lang w:val="en-US" w:eastAsia="zh-CN"/>
        </w:rPr>
        <w:br w:type="textWrapping"/>
      </w:r>
      <w:bookmarkEnd w:id="6"/>
      <w:r>
        <w:rPr>
          <w:rFonts w:hint="eastAsia" w:ascii="仿宋_GB2312" w:hAnsi="仿宋_GB2312" w:eastAsia="仿宋_GB2312" w:cs="仿宋_GB2312"/>
          <w:i w:val="0"/>
          <w:iCs w:val="0"/>
          <w:color w:val="auto"/>
          <w:kern w:val="0"/>
          <w:sz w:val="32"/>
          <w:szCs w:val="32"/>
          <w:highlight w:val="none"/>
          <w:u w:val="none"/>
          <w:lang w:val="en-US" w:eastAsia="zh-CN" w:bidi="ar"/>
        </w:rPr>
        <w:t>　　本规则中下列用语的含义是：</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CN" w:bidi="ar"/>
        </w:rPr>
        <w:t>　　（a）体检文书，是指记录体检合格证申请人体检鉴定信息的所有材料，包括体检鉴定表和体检鉴定结论通知书。</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CN" w:bidi="ar"/>
        </w:rPr>
        <w:t>　　（b）医学资料，是指与体检合格证申请人健康有关的诊疗记录（包括门诊、住院以及用药记录）、医学检查结果报告以及医学（数字）影像资料、身体状况资料和疗养记录等。</w:t>
      </w:r>
    </w:p>
    <w:p w14:paraId="0CE8B835">
      <w:pPr>
        <w:pStyle w:val="2"/>
        <w:bidi w:val="0"/>
        <w:jc w:val="center"/>
        <w:rPr>
          <w:rFonts w:hint="eastAsia" w:ascii="黑体" w:hAnsi="黑体" w:eastAsia="黑体" w:cs="黑体"/>
          <w:b w:val="0"/>
          <w:bCs/>
          <w:color w:val="auto"/>
          <w:highlight w:val="none"/>
          <w:lang w:val="en-US" w:eastAsia="zh-CN"/>
        </w:rPr>
      </w:pPr>
      <w:bookmarkStart w:id="7" w:name="_Toc9224"/>
      <w:r>
        <w:rPr>
          <w:rFonts w:hint="eastAsia" w:ascii="黑体" w:hAnsi="黑体" w:eastAsia="黑体" w:cs="黑体"/>
          <w:b w:val="0"/>
          <w:bCs/>
          <w:color w:val="auto"/>
          <w:highlight w:val="none"/>
          <w:lang w:val="en-US" w:eastAsia="zh-CN"/>
        </w:rPr>
        <w:t>B章 体检鉴定</w:t>
      </w:r>
      <w:bookmarkEnd w:id="7"/>
    </w:p>
    <w:p w14:paraId="6F8F423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both"/>
        <w:textAlignment w:val="top"/>
        <w:rPr>
          <w:rStyle w:val="14"/>
          <w:rFonts w:hint="eastAsia" w:ascii="黑体" w:hAnsi="黑体" w:eastAsia="黑体" w:cs="黑体"/>
          <w:b w:val="0"/>
          <w:bCs/>
          <w:color w:val="auto"/>
          <w:highlight w:val="none"/>
          <w:lang w:val="en-US" w:eastAsia="zh-CN"/>
        </w:rPr>
      </w:pPr>
      <w:bookmarkStart w:id="8" w:name="_Toc31957"/>
      <w:r>
        <w:rPr>
          <w:rStyle w:val="14"/>
          <w:rFonts w:hint="eastAsia" w:ascii="黑体" w:hAnsi="黑体" w:eastAsia="黑体" w:cs="黑体"/>
          <w:b w:val="0"/>
          <w:bCs/>
          <w:color w:val="auto"/>
          <w:highlight w:val="none"/>
          <w:lang w:val="en-US" w:eastAsia="zh-CN"/>
        </w:rPr>
        <w:t>第67.11条 体检鉴定一般要求</w:t>
      </w:r>
    </w:p>
    <w:bookmarkEnd w:id="8"/>
    <w:p w14:paraId="77530F31">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b w:val="0"/>
          <w:bCs w:val="0"/>
          <w:i w:val="0"/>
          <w:iCs w:val="0"/>
          <w:color w:val="auto"/>
          <w:kern w:val="0"/>
          <w:sz w:val="32"/>
          <w:szCs w:val="32"/>
          <w:highlight w:val="none"/>
          <w:u w:val="none"/>
          <w:lang w:val="en-US" w:eastAsia="zh-CN" w:bidi="ar"/>
        </w:rPr>
      </w:pP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（a）申请人在体检机构进行体检鉴定时，应当出示本人身份证明，如实提供本人医学资料、既往体检文书及本人和家族病史信息，接受体检机构按照本规则附件</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A</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和体检鉴定辅助检查项目要求实施的各项医学检查，以及必要的相关检查。</w:t>
      </w:r>
    </w:p>
    <w:p w14:paraId="02E27BC8">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b w:val="0"/>
          <w:bCs w:val="0"/>
          <w:i w:val="0"/>
          <w:iCs w:val="0"/>
          <w:color w:val="auto"/>
          <w:kern w:val="0"/>
          <w:sz w:val="32"/>
          <w:szCs w:val="32"/>
          <w:highlight w:val="none"/>
          <w:u w:val="none"/>
          <w:lang w:val="en-US" w:eastAsia="zh-CN" w:bidi="ar"/>
        </w:rPr>
      </w:pP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（b）体检机构组织进行体检鉴定时，应当核对申请人身份，</w:t>
      </w:r>
      <w:r>
        <w:rPr>
          <w:rFonts w:hint="eastAsia" w:ascii="仿宋_GB2312" w:hAnsi="仿宋_GB2312" w:eastAsia="仿宋_GB2312" w:cs="仿宋_GB2312"/>
          <w:b w:val="0"/>
          <w:bCs w:val="0"/>
          <w:i w:val="0"/>
          <w:iCs w:val="0"/>
          <w:strike w:val="0"/>
          <w:dstrike w:val="0"/>
          <w:color w:val="auto"/>
          <w:kern w:val="0"/>
          <w:sz w:val="32"/>
          <w:szCs w:val="32"/>
          <w:highlight w:val="none"/>
          <w:u w:val="none"/>
          <w:lang w:val="en-US" w:eastAsia="zh" w:bidi="ar"/>
        </w:rPr>
        <w:t>核查</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其申请材料，并根据所申请体检合格证的类别，按照本规则的要求，组织对其进行体检鉴定。</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 xml:space="preserve">    （c）体检医师对申请人按照本规则相应医学标准进行检查，及时准确记录各项检查结果，并根据其申请材料、身心状况和有效辅助检查结果（辅助检查结果有效期为90日），如实作出并签署单科体检鉴定结论；主检医师</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核</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查体检文书和医学资料，核实体检项目和辅助检查项目的完整性和符合性</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综合各科鉴定结论，如实作出并签署体检鉴定结论。</w:t>
      </w:r>
    </w:p>
    <w:p w14:paraId="21050865">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b w:val="0"/>
          <w:bCs w:val="0"/>
          <w:i w:val="0"/>
          <w:iCs w:val="0"/>
          <w:color w:val="auto"/>
          <w:kern w:val="0"/>
          <w:sz w:val="32"/>
          <w:szCs w:val="32"/>
          <w:highlight w:val="none"/>
          <w:u w:val="none"/>
          <w:lang w:val="en-US" w:eastAsia="zh-CN" w:bidi="ar"/>
        </w:rPr>
      </w:pP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（d）体检机构应当在5个工作日内完成体检鉴定并作出体检鉴定结论，但是因申请人原因无法完成体检鉴定的除外。</w:t>
      </w:r>
    </w:p>
    <w:p w14:paraId="214ABF00">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b w:val="0"/>
          <w:bCs w:val="0"/>
          <w:i w:val="0"/>
          <w:iCs w:val="0"/>
          <w:color w:val="auto"/>
          <w:kern w:val="0"/>
          <w:sz w:val="32"/>
          <w:szCs w:val="32"/>
          <w:highlight w:val="none"/>
          <w:u w:val="none"/>
          <w:lang w:val="en-US" w:eastAsia="zh-CN" w:bidi="ar"/>
        </w:rPr>
      </w:pP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e）经体检机构评估需要对申请人进行补充检查、医学观察或者专家鉴定等的，体检机构应当及时通知申请人及其运行单位，暂停其履行职责。补充检查、医学观察或者专家鉴定所需时间不计入前款时限。补充检查和医学观察时间自本次体检鉴定之日起不得超过30日。</w:t>
      </w:r>
    </w:p>
    <w:p w14:paraId="0A300140">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b w:val="0"/>
          <w:bCs w:val="0"/>
          <w:i w:val="0"/>
          <w:iCs w:val="0"/>
          <w:color w:val="auto"/>
          <w:kern w:val="0"/>
          <w:sz w:val="32"/>
          <w:szCs w:val="32"/>
          <w:highlight w:val="none"/>
          <w:u w:val="none"/>
          <w:lang w:val="en-US" w:eastAsia="zh-CN" w:bidi="ar"/>
        </w:rPr>
      </w:pP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f）申请人在体检鉴定时应当如实反映健康状况，不得隐瞒病史、病情。体检机构发现申请人可能冒名顶替、提供虚假生物标本、隐瞒病史、病情或者擅自涂改、伪造体检文书及医学资料时，应当立即停止体检鉴定，并及时书面报告所在地民航地区管理局。</w:t>
      </w:r>
    </w:p>
    <w:p w14:paraId="3439B418">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b w:val="0"/>
          <w:bCs w:val="0"/>
          <w:i w:val="0"/>
          <w:iCs w:val="0"/>
          <w:color w:val="auto"/>
          <w:kern w:val="0"/>
          <w:sz w:val="32"/>
          <w:szCs w:val="32"/>
          <w:highlight w:val="none"/>
          <w:u w:val="none"/>
          <w:lang w:val="en-US" w:eastAsia="zh" w:bidi="ar"/>
        </w:rPr>
      </w:pP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（g）</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体检医师和体检机构的其他医务人员在对申请人实施体检鉴定和医学检查时，应当尊重申请人的人格和权利，不得恶意造成其身体伤害，不得泄露和传播其身体状况和体检鉴定信息，不得利用职权索取或</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者</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收受申请人的财物。</w:t>
      </w:r>
    </w:p>
    <w:p w14:paraId="4205C43E">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bookmarkStart w:id="9" w:name="_Toc25615"/>
      <w:r>
        <w:rPr>
          <w:rStyle w:val="14"/>
          <w:rFonts w:hint="eastAsia" w:ascii="黑体" w:hAnsi="黑体" w:eastAsia="黑体" w:cs="黑体"/>
          <w:b w:val="0"/>
          <w:bCs/>
          <w:color w:val="auto"/>
          <w:highlight w:val="none"/>
          <w:lang w:val="en-US" w:eastAsia="zh-CN"/>
        </w:rPr>
        <w:t>第67.13条 体检鉴定结论</w:t>
      </w:r>
      <w:r>
        <w:rPr>
          <w:rStyle w:val="14"/>
          <w:rFonts w:hint="eastAsia" w:ascii="黑体" w:hAnsi="黑体" w:eastAsia="黑体" w:cs="黑体"/>
          <w:b/>
          <w:color w:val="auto"/>
          <w:highlight w:val="none"/>
          <w:lang w:val="en-US" w:eastAsia="zh-CN"/>
        </w:rPr>
        <w:br w:type="textWrapping"/>
      </w:r>
      <w:bookmarkEnd w:id="9"/>
      <w:r>
        <w:rPr>
          <w:rFonts w:hint="eastAsia" w:ascii="仿宋_GB2312" w:hAnsi="仿宋_GB2312" w:eastAsia="仿宋_GB2312" w:cs="仿宋_GB2312"/>
          <w:i w:val="0"/>
          <w:iCs w:val="0"/>
          <w:color w:val="auto"/>
          <w:kern w:val="0"/>
          <w:sz w:val="32"/>
          <w:szCs w:val="32"/>
          <w:highlight w:val="none"/>
          <w:u w:val="none"/>
          <w:lang w:val="en-US" w:eastAsia="zh-CN" w:bidi="ar"/>
        </w:rPr>
        <w:t>　　（a）体检鉴定结论为：</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CN" w:bidi="ar"/>
        </w:rPr>
        <w:t>　　（1）合格。经过辅助检查和体检鉴定，申请人身体状况符合本规则附件A相应类别体检合格证医学标准的，体检鉴定结论为合格。</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CN" w:bidi="ar"/>
        </w:rPr>
        <w:t>　　（2）暂时不合格。经过辅助检查和体检鉴定，申请人身体状况不符合本规则附件A相应类别体检合格证医学标准，但体检医师认为通过补充医学资料、进行短期疾病治疗或者医学观察，可以满足相应类别体检合格证医学标准的，体检鉴定结论为暂时不合格。</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CN" w:bidi="ar"/>
        </w:rPr>
        <w:t>　　（3）不合格。经过辅助检查和体检鉴定，申请人身体状况不符合本规则附件A相应类别体检合格证医学标准的，体检鉴定结论为不合格。</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CN" w:bidi="ar"/>
        </w:rPr>
        <w:t>　　（b）合格的体检鉴定结论作出后的3个工作日内，体检机构应当通知申请人及其运行单位。</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CN" w:bidi="ar"/>
        </w:rPr>
        <w:t>　　（c）暂时不合格的体检鉴定结论作出后，体检机构应当签署体检鉴定暂时不合格结论通知书，在24小时内通知申请人及其运行单位，并报告所在地民航地区管理局</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备案</w:t>
      </w:r>
      <w:r>
        <w:rPr>
          <w:rFonts w:hint="eastAsia" w:ascii="仿宋_GB2312" w:hAnsi="仿宋_GB2312" w:eastAsia="仿宋_GB2312" w:cs="仿宋_GB2312"/>
          <w:i w:val="0"/>
          <w:iCs w:val="0"/>
          <w:color w:val="auto"/>
          <w:kern w:val="0"/>
          <w:sz w:val="32"/>
          <w:szCs w:val="32"/>
          <w:highlight w:val="none"/>
          <w:u w:val="none"/>
          <w:lang w:val="en-US" w:eastAsia="zh-CN" w:bidi="ar"/>
        </w:rPr>
        <w:t>。</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CN" w:bidi="ar"/>
        </w:rPr>
        <w:t>　　在暂时不合格的体检鉴定结论作出后90日内，申请人按照体检医师的要求补充相应医学资料、接受相应疾病治疗或者医学观察，并接受体检医师的单科检查的，体检机构应当作出相应体检鉴定结论。超过90日未进行补充相应医学资料、未完成疾病治疗或者医学观察的，应当重新申请体检鉴定。重新进行体检鉴定时，体检医师不得以同一原因再次作出暂时不合格结论。</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CN" w:bidi="ar"/>
        </w:rPr>
        <w:t>　　（d）体检鉴定不合格结论作出后，体检机构应当签署体检鉴定结论通知书，并在24小时内通知申请人及其运行单位，同时报告所在地民航地区管理局备案。</w:t>
      </w:r>
    </w:p>
    <w:p w14:paraId="561C8AB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both"/>
        <w:textAlignment w:val="top"/>
        <w:rPr>
          <w:rStyle w:val="14"/>
          <w:rFonts w:hint="eastAsia" w:ascii="黑体" w:hAnsi="黑体" w:eastAsia="黑体" w:cs="黑体"/>
          <w:b w:val="0"/>
          <w:bCs/>
          <w:color w:val="auto"/>
          <w:highlight w:val="none"/>
          <w:lang w:val="en-US" w:eastAsia="zh-CN"/>
        </w:rPr>
      </w:pPr>
      <w:bookmarkStart w:id="10" w:name="_Toc10867"/>
      <w:r>
        <w:rPr>
          <w:rStyle w:val="14"/>
          <w:rFonts w:hint="eastAsia" w:ascii="黑体" w:hAnsi="黑体" w:eastAsia="黑体" w:cs="黑体"/>
          <w:b w:val="0"/>
          <w:bCs/>
          <w:color w:val="auto"/>
          <w:highlight w:val="none"/>
          <w:lang w:val="en-US" w:eastAsia="zh-CN"/>
        </w:rPr>
        <w:t>第67.15条 特许体检鉴定</w:t>
      </w:r>
    </w:p>
    <w:bookmarkEnd w:id="10"/>
    <w:p w14:paraId="40B75D2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color w:val="auto"/>
          <w:kern w:val="0"/>
          <w:sz w:val="32"/>
          <w:szCs w:val="32"/>
          <w:highlight w:val="none"/>
          <w:u w:val="none"/>
          <w:lang w:val="en-US" w:eastAsia="zh-CN" w:bidi="ar"/>
        </w:rPr>
        <w:t>（a）特许体检鉴定由符合要求的体检鉴定、临床医学专家组织实施。</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b）特许体检鉴定的检查项目除按照本规则相应类别体检合格证医学标准要求的检查项目外，还可以根据申请人的身体状况，增加必要的医学检查项目。必要时，可以在模拟履行职责的状态下进行医学检查、健康检查和岗位能力测试。</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（c）特许体检鉴定结论为：</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CN" w:bidi="ar"/>
        </w:rPr>
        <w:t>　　（1）合格。经过审查或者特许体检鉴定，认为申请人身体状况符合本规则附件A相应类别体检合格证医学标准，无需特许即可合格的，其鉴定结论为合格。</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CN" w:bidi="ar"/>
        </w:rPr>
        <w:t>　　（2）特许鉴定合格。经过特许体检鉴定，认为申请人身体状况在满足相应限制条件下，能够安全履行职责的，其鉴定结论为特许鉴定合格。</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CN" w:bidi="ar"/>
        </w:rPr>
        <w:t>　　（3）特许鉴定不合格。经过特许体检鉴定，认为申请人身体状况不能够安全履行职责，或者没有充分证据证明可以安全履行职责的，其鉴定结论为特许鉴定不合格。</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（d）</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特许体检鉴定</w:t>
      </w:r>
      <w:r>
        <w:rPr>
          <w:rFonts w:hint="eastAsia" w:ascii="仿宋_GB2312" w:hAnsi="仿宋_GB2312" w:eastAsia="仿宋_GB2312" w:cs="仿宋_GB2312"/>
          <w:i w:val="0"/>
          <w:iCs w:val="0"/>
          <w:color w:val="auto"/>
          <w:kern w:val="0"/>
          <w:sz w:val="32"/>
          <w:szCs w:val="32"/>
          <w:highlight w:val="none"/>
          <w:u w:val="none"/>
          <w:lang w:val="en-US" w:eastAsia="zh-CN" w:bidi="ar"/>
        </w:rPr>
        <w:t>应当在30个工作日内完成</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并</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作出体检鉴定结论</w:t>
      </w:r>
      <w:r>
        <w:rPr>
          <w:rFonts w:hint="eastAsia" w:ascii="仿宋_GB2312" w:hAnsi="仿宋_GB2312" w:eastAsia="仿宋_GB2312" w:cs="仿宋_GB2312"/>
          <w:i w:val="0"/>
          <w:iCs w:val="0"/>
          <w:color w:val="auto"/>
          <w:kern w:val="0"/>
          <w:sz w:val="32"/>
          <w:szCs w:val="32"/>
          <w:highlight w:val="none"/>
          <w:u w:val="none"/>
          <w:lang w:val="en-US" w:eastAsia="zh-CN" w:bidi="ar"/>
        </w:rPr>
        <w:t>。鉴定结论应当书面通知申请人及其运行单位。</w:t>
      </w:r>
    </w:p>
    <w:p w14:paraId="048CB18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both"/>
        <w:textAlignment w:val="top"/>
        <w:rPr>
          <w:rStyle w:val="14"/>
          <w:rFonts w:hint="eastAsia" w:ascii="黑体" w:hAnsi="黑体" w:eastAsia="黑体" w:cs="黑体"/>
          <w:b w:val="0"/>
          <w:bCs/>
          <w:color w:val="auto"/>
          <w:highlight w:val="none"/>
          <w:lang w:val="en-US" w:eastAsia="zh-CN"/>
        </w:rPr>
      </w:pPr>
      <w:bookmarkStart w:id="11" w:name="_Toc12354"/>
      <w:r>
        <w:rPr>
          <w:rStyle w:val="14"/>
          <w:rFonts w:hint="eastAsia" w:ascii="黑体" w:hAnsi="黑体" w:eastAsia="黑体" w:cs="黑体"/>
          <w:b w:val="0"/>
          <w:bCs/>
          <w:color w:val="auto"/>
          <w:highlight w:val="none"/>
          <w:lang w:val="en-US" w:eastAsia="zh-CN"/>
        </w:rPr>
        <w:t>第67.17条 疑难或者特殊病例体检鉴定</w:t>
      </w:r>
    </w:p>
    <w:bookmarkEnd w:id="11"/>
    <w:p w14:paraId="6FB3C3C8">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b w:val="0"/>
          <w:bCs w:val="0"/>
          <w:i w:val="0"/>
          <w:iCs w:val="0"/>
          <w:color w:val="auto"/>
          <w:kern w:val="0"/>
          <w:sz w:val="32"/>
          <w:szCs w:val="32"/>
          <w:highlight w:val="none"/>
          <w:u w:val="none"/>
          <w:lang w:val="en-US" w:eastAsia="zh" w:bidi="ar"/>
        </w:rPr>
      </w:pPr>
      <w:r>
        <w:rPr>
          <w:rFonts w:hint="eastAsia" w:ascii="仿宋_GB2312" w:hAnsi="仿宋_GB2312" w:eastAsia="仿宋_GB2312" w:cs="仿宋_GB2312"/>
          <w:i w:val="0"/>
          <w:iCs w:val="0"/>
          <w:color w:val="auto"/>
          <w:kern w:val="0"/>
          <w:sz w:val="32"/>
          <w:szCs w:val="32"/>
          <w:highlight w:val="none"/>
          <w:u w:val="none"/>
          <w:lang w:val="en-US" w:eastAsia="zh-CN" w:bidi="ar"/>
        </w:rPr>
        <w:t>（a）</w:t>
      </w: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体检机构在体检鉴定中发现疑难病例时，应当及时报告所在地民航地区管理局，并进行专家鉴定。民航</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地区管理局发现特殊病例时，应进行专家鉴定。</w:t>
      </w:r>
    </w:p>
    <w:p w14:paraId="285B06A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color w:val="auto"/>
          <w:kern w:val="0"/>
          <w:sz w:val="32"/>
          <w:szCs w:val="32"/>
          <w:highlight w:val="none"/>
          <w:u w:val="none"/>
          <w:lang w:val="en-US" w:eastAsia="zh-CN" w:bidi="ar"/>
        </w:rPr>
        <w:t>（b）</w:t>
      </w:r>
      <w:r>
        <w:rPr>
          <w:rStyle w:val="12"/>
          <w:rFonts w:hint="eastAsia" w:ascii="仿宋_GB2312" w:hAnsi="仿宋_GB2312" w:eastAsia="仿宋_GB2312" w:cs="仿宋_GB2312"/>
          <w:b w:val="0"/>
          <w:bCs w:val="0"/>
          <w:color w:val="auto"/>
          <w:kern w:val="0"/>
          <w:sz w:val="32"/>
          <w:szCs w:val="32"/>
          <w:highlight w:val="none"/>
          <w:u w:val="none"/>
          <w:lang w:val="en-US" w:eastAsia="zh-CN" w:bidi="ar"/>
        </w:rPr>
        <w:t>疑难或者特殊病例</w:t>
      </w:r>
      <w:r>
        <w:rPr>
          <w:rFonts w:hint="eastAsia" w:ascii="仿宋_GB2312" w:hAnsi="仿宋_GB2312" w:eastAsia="仿宋_GB2312" w:cs="仿宋_GB2312"/>
          <w:i w:val="0"/>
          <w:iCs w:val="0"/>
          <w:color w:val="auto"/>
          <w:kern w:val="0"/>
          <w:sz w:val="32"/>
          <w:szCs w:val="32"/>
          <w:highlight w:val="none"/>
          <w:u w:val="none"/>
          <w:lang w:val="en-US" w:eastAsia="zh-CN" w:bidi="ar"/>
        </w:rPr>
        <w:t>体检鉴定由符合中国民航局要求的体检鉴定、临床医学专家组织实施，应当</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在30个工作日内完成并</w:t>
      </w:r>
      <w:r>
        <w:rPr>
          <w:rFonts w:hint="eastAsia" w:ascii="仿宋_GB2312" w:hAnsi="仿宋_GB2312" w:eastAsia="仿宋_GB2312" w:cs="仿宋_GB2312"/>
          <w:i w:val="0"/>
          <w:iCs w:val="0"/>
          <w:color w:val="auto"/>
          <w:kern w:val="0"/>
          <w:sz w:val="32"/>
          <w:szCs w:val="32"/>
          <w:highlight w:val="none"/>
          <w:u w:val="none"/>
          <w:lang w:val="en-US" w:eastAsia="zh-CN" w:bidi="ar"/>
        </w:rPr>
        <w:t>作出体检鉴定结论，并书面通知申请人及其运行单位，同时报告</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申请人</w:t>
      </w:r>
      <w:r>
        <w:rPr>
          <w:rFonts w:hint="eastAsia" w:ascii="仿宋_GB2312" w:hAnsi="仿宋_GB2312" w:eastAsia="仿宋_GB2312" w:cs="仿宋_GB2312"/>
          <w:i w:val="0"/>
          <w:iCs w:val="0"/>
          <w:color w:val="auto"/>
          <w:kern w:val="0"/>
          <w:sz w:val="32"/>
          <w:szCs w:val="32"/>
          <w:highlight w:val="none"/>
          <w:u w:val="none"/>
          <w:lang w:val="en-US" w:eastAsia="zh-CN" w:bidi="ar"/>
        </w:rPr>
        <w:t>所在地民航地区管理局。</w:t>
      </w:r>
    </w:p>
    <w:p w14:paraId="694E86F1">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default" w:ascii="仿宋_GB2312" w:hAnsi="仿宋_GB2312" w:eastAsia="仿宋_GB2312" w:cs="仿宋_GB2312"/>
          <w:b w:val="0"/>
          <w:bCs w:val="0"/>
          <w:i w:val="0"/>
          <w:iCs w:val="0"/>
          <w:color w:val="auto"/>
          <w:kern w:val="0"/>
          <w:sz w:val="32"/>
          <w:szCs w:val="32"/>
          <w:highlight w:val="none"/>
          <w:u w:val="none"/>
          <w:lang w:val="en-US" w:eastAsia="zh-CN" w:bidi="ar"/>
        </w:rPr>
      </w:pPr>
    </w:p>
    <w:p w14:paraId="5B96648E">
      <w:pPr>
        <w:pStyle w:val="2"/>
        <w:bidi w:val="0"/>
        <w:jc w:val="center"/>
        <w:rPr>
          <w:rFonts w:hint="eastAsia" w:ascii="黑体" w:hAnsi="黑体" w:eastAsia="黑体" w:cs="黑体"/>
          <w:b w:val="0"/>
          <w:bCs/>
          <w:color w:val="auto"/>
          <w:highlight w:val="none"/>
          <w:lang w:val="en-US" w:eastAsia="zh-CN"/>
        </w:rPr>
      </w:pPr>
      <w:bookmarkStart w:id="12" w:name="_Toc27730"/>
      <w:r>
        <w:rPr>
          <w:rFonts w:hint="eastAsia" w:ascii="黑体" w:hAnsi="黑体" w:eastAsia="黑体" w:cs="黑体"/>
          <w:b w:val="0"/>
          <w:bCs/>
          <w:color w:val="auto"/>
          <w:highlight w:val="none"/>
          <w:lang w:val="en-US" w:eastAsia="zh-CN"/>
        </w:rPr>
        <w:t>C章 体检合格证</w:t>
      </w:r>
      <w:bookmarkEnd w:id="12"/>
    </w:p>
    <w:p w14:paraId="1EDCC52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both"/>
        <w:textAlignment w:val="top"/>
        <w:rPr>
          <w:rStyle w:val="14"/>
          <w:rFonts w:hint="eastAsia" w:ascii="黑体" w:hAnsi="黑体" w:eastAsia="黑体" w:cs="黑体"/>
          <w:b w:val="0"/>
          <w:bCs/>
          <w:color w:val="auto"/>
          <w:highlight w:val="none"/>
          <w:lang w:val="en-US" w:eastAsia="zh-CN"/>
        </w:rPr>
      </w:pPr>
      <w:bookmarkStart w:id="13" w:name="_Toc1626"/>
      <w:r>
        <w:rPr>
          <w:rStyle w:val="14"/>
          <w:rFonts w:hint="eastAsia" w:ascii="黑体" w:hAnsi="黑体" w:eastAsia="黑体" w:cs="黑体"/>
          <w:b w:val="0"/>
          <w:bCs/>
          <w:color w:val="auto"/>
          <w:highlight w:val="none"/>
          <w:lang w:val="en-US" w:eastAsia="zh-CN"/>
        </w:rPr>
        <w:t>第67.19条 体检合格证类别</w:t>
      </w:r>
    </w:p>
    <w:bookmarkEnd w:id="13"/>
    <w:p w14:paraId="46DFC8C7">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kern w:val="0"/>
          <w:sz w:val="32"/>
          <w:szCs w:val="32"/>
          <w:highlight w:val="none"/>
          <w:u w:val="none"/>
          <w:lang w:val="en-US" w:eastAsia="zh-CN" w:bidi="ar"/>
        </w:rPr>
      </w:pPr>
      <w:r>
        <w:rPr>
          <w:rFonts w:hint="eastAsia" w:ascii="仿宋_GB2312" w:hAnsi="仿宋_GB2312" w:eastAsia="仿宋_GB2312" w:cs="仿宋_GB2312"/>
          <w:i w:val="0"/>
          <w:iCs w:val="0"/>
          <w:color w:val="auto"/>
          <w:kern w:val="0"/>
          <w:sz w:val="32"/>
          <w:szCs w:val="32"/>
          <w:highlight w:val="none"/>
          <w:u w:val="none"/>
          <w:lang w:val="en-US" w:eastAsia="zh-CN" w:bidi="ar"/>
        </w:rPr>
        <w:t>体检合格证分下列类别：</w:t>
      </w:r>
    </w:p>
    <w:p w14:paraId="541AC5DD">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kern w:val="0"/>
          <w:sz w:val="32"/>
          <w:szCs w:val="32"/>
          <w:highlight w:val="none"/>
          <w:u w:val="none"/>
          <w:lang w:val="en-US" w:eastAsia="zh-CN" w:bidi="ar"/>
        </w:rPr>
      </w:pPr>
      <w:r>
        <w:rPr>
          <w:rFonts w:hint="eastAsia" w:ascii="仿宋_GB2312" w:hAnsi="仿宋_GB2312" w:eastAsia="仿宋_GB2312" w:cs="仿宋_GB2312"/>
          <w:i w:val="0"/>
          <w:iCs w:val="0"/>
          <w:color w:val="auto"/>
          <w:kern w:val="0"/>
          <w:sz w:val="32"/>
          <w:szCs w:val="32"/>
          <w:highlight w:val="none"/>
          <w:lang w:val="en-US" w:eastAsia="zh-CN" w:bidi="ar"/>
        </w:rPr>
        <w:t>（a）</w:t>
      </w:r>
      <w:r>
        <w:rPr>
          <w:rFonts w:hint="eastAsia" w:ascii="仿宋_GB2312" w:hAnsi="仿宋_GB2312" w:eastAsia="仿宋_GB2312" w:cs="仿宋_GB2312"/>
          <w:i w:val="0"/>
          <w:iCs w:val="0"/>
          <w:color w:val="auto"/>
          <w:kern w:val="0"/>
          <w:sz w:val="32"/>
          <w:szCs w:val="32"/>
          <w:highlight w:val="none"/>
          <w:u w:val="none"/>
          <w:lang w:val="en-US" w:eastAsia="zh-CN" w:bidi="ar"/>
        </w:rPr>
        <w:t>I级体检合格证；</w:t>
      </w:r>
    </w:p>
    <w:p w14:paraId="0AEFF481">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color w:val="auto"/>
          <w:kern w:val="2"/>
          <w:sz w:val="32"/>
          <w:szCs w:val="32"/>
          <w:highlight w:val="none"/>
          <w:lang w:val="en-US" w:eastAsia="zh-CN" w:bidi="ar-SA"/>
        </w:rPr>
        <w:t>（b）</w:t>
      </w:r>
      <w:r>
        <w:rPr>
          <w:rFonts w:hint="eastAsia" w:ascii="仿宋_GB2312" w:hAnsi="仿宋_GB2312" w:eastAsia="仿宋_GB2312" w:cs="仿宋_GB2312"/>
          <w:i w:val="0"/>
          <w:iCs w:val="0"/>
          <w:color w:val="auto"/>
          <w:kern w:val="0"/>
          <w:sz w:val="32"/>
          <w:szCs w:val="32"/>
          <w:highlight w:val="none"/>
          <w:u w:val="none"/>
          <w:lang w:val="en-US" w:eastAsia="zh-CN" w:bidi="ar"/>
        </w:rPr>
        <w:t>Ⅱ级体检合格证</w:t>
      </w:r>
      <w:r>
        <w:rPr>
          <w:rFonts w:hint="eastAsia" w:ascii="仿宋_GB2312" w:hAnsi="仿宋_GB2312" w:eastAsia="仿宋_GB2312" w:cs="仿宋_GB2312"/>
          <w:b/>
          <w:bCs/>
          <w:i w:val="0"/>
          <w:iCs w:val="0"/>
          <w:color w:val="auto"/>
          <w:kern w:val="0"/>
          <w:sz w:val="32"/>
          <w:szCs w:val="32"/>
          <w:highlight w:val="none"/>
          <w:u w:val="none"/>
          <w:lang w:val="en-US" w:eastAsia="zh-CN" w:bidi="ar"/>
        </w:rPr>
        <w:t>；</w:t>
      </w:r>
    </w:p>
    <w:p w14:paraId="6F55948E">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color w:val="auto"/>
          <w:kern w:val="2"/>
          <w:sz w:val="32"/>
          <w:szCs w:val="32"/>
          <w:highlight w:val="none"/>
          <w:lang w:val="en-US" w:eastAsia="zh-CN" w:bidi="ar-SA"/>
        </w:rPr>
        <w:t>（c）</w:t>
      </w:r>
      <w:r>
        <w:rPr>
          <w:rFonts w:hint="eastAsia" w:ascii="仿宋_GB2312" w:hAnsi="仿宋_GB2312" w:eastAsia="仿宋_GB2312" w:cs="仿宋_GB2312"/>
          <w:i w:val="0"/>
          <w:iCs w:val="0"/>
          <w:color w:val="auto"/>
          <w:kern w:val="0"/>
          <w:sz w:val="32"/>
          <w:szCs w:val="32"/>
          <w:highlight w:val="none"/>
          <w:u w:val="none"/>
          <w:lang w:val="en-US" w:eastAsia="zh-CN" w:bidi="ar"/>
        </w:rPr>
        <w:t>Ⅲ级体检合格证；</w:t>
      </w:r>
    </w:p>
    <w:p w14:paraId="4A0EF22A">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kern w:val="0"/>
          <w:sz w:val="32"/>
          <w:szCs w:val="32"/>
          <w:highlight w:val="none"/>
          <w:u w:val="none"/>
          <w:lang w:val="en-US" w:eastAsia="zh-CN" w:bidi="ar"/>
        </w:rPr>
      </w:pPr>
      <w:r>
        <w:rPr>
          <w:rFonts w:hint="eastAsia" w:ascii="仿宋_GB2312" w:hAnsi="仿宋_GB2312" w:eastAsia="仿宋_GB2312" w:cs="仿宋_GB2312"/>
          <w:i w:val="0"/>
          <w:iCs w:val="0"/>
          <w:color w:val="auto"/>
          <w:kern w:val="2"/>
          <w:sz w:val="32"/>
          <w:szCs w:val="32"/>
          <w:highlight w:val="none"/>
          <w:lang w:val="en-US" w:eastAsia="zh-CN" w:bidi="ar-SA"/>
        </w:rPr>
        <w:t>（d）</w:t>
      </w:r>
      <w:r>
        <w:rPr>
          <w:rFonts w:hint="eastAsia" w:ascii="仿宋_GB2312" w:hAnsi="仿宋_GB2312" w:eastAsia="仿宋_GB2312" w:cs="仿宋_GB2312"/>
          <w:i w:val="0"/>
          <w:iCs w:val="0"/>
          <w:color w:val="auto"/>
          <w:kern w:val="0"/>
          <w:sz w:val="32"/>
          <w:szCs w:val="32"/>
          <w:highlight w:val="none"/>
          <w:u w:val="none"/>
          <w:lang w:val="en-US" w:eastAsia="zh-CN" w:bidi="ar"/>
        </w:rPr>
        <w:t>Ⅳ级体检合格证，包括Ⅳa、Ⅳb级体检合格证；</w:t>
      </w:r>
    </w:p>
    <w:p w14:paraId="40D279E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both"/>
        <w:textAlignment w:val="top"/>
        <w:rPr>
          <w:rStyle w:val="14"/>
          <w:rFonts w:hint="eastAsia" w:ascii="黑体" w:hAnsi="黑体" w:eastAsia="黑体" w:cs="黑体"/>
          <w:b w:val="0"/>
          <w:bCs/>
          <w:color w:val="auto"/>
          <w:highlight w:val="none"/>
          <w:lang w:val="en-US" w:eastAsia="zh-CN"/>
        </w:rPr>
      </w:pPr>
      <w:bookmarkStart w:id="14" w:name="_Toc27022"/>
      <w:r>
        <w:rPr>
          <w:rStyle w:val="14"/>
          <w:rFonts w:hint="eastAsia" w:ascii="黑体" w:hAnsi="黑体" w:eastAsia="黑体" w:cs="黑体"/>
          <w:b w:val="0"/>
          <w:bCs/>
          <w:color w:val="auto"/>
          <w:highlight w:val="none"/>
          <w:lang w:val="en-US" w:eastAsia="zh-CN"/>
        </w:rPr>
        <w:t>第67.21条 体检合格证适用人员</w:t>
      </w:r>
    </w:p>
    <w:bookmarkEnd w:id="14"/>
    <w:p w14:paraId="17A22451">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53" w:leftChars="25" w:firstLine="640" w:firstLineChars="200"/>
        <w:jc w:val="both"/>
        <w:textAlignment w:val="top"/>
        <w:rPr>
          <w:rFonts w:hint="eastAsia" w:ascii="仿宋_GB2312" w:hAnsi="仿宋_GB2312" w:eastAsia="仿宋_GB2312" w:cs="仿宋_GB2312"/>
          <w:i w:val="0"/>
          <w:iCs w:val="0"/>
          <w:color w:val="auto"/>
          <w:kern w:val="0"/>
          <w:sz w:val="32"/>
          <w:szCs w:val="32"/>
          <w:highlight w:val="none"/>
          <w:u w:val="none"/>
          <w:lang w:val="en-US" w:eastAsia="zh-CN" w:bidi="ar"/>
        </w:rPr>
      </w:pPr>
      <w:r>
        <w:rPr>
          <w:rFonts w:hint="eastAsia" w:ascii="仿宋_GB2312" w:hAnsi="仿宋_GB2312" w:eastAsia="仿宋_GB2312" w:cs="仿宋_GB2312"/>
          <w:i w:val="0"/>
          <w:iCs w:val="0"/>
          <w:color w:val="auto"/>
          <w:kern w:val="0"/>
          <w:sz w:val="32"/>
          <w:szCs w:val="32"/>
          <w:highlight w:val="none"/>
          <w:lang w:val="en-US" w:eastAsia="zh-CN" w:bidi="ar"/>
        </w:rPr>
        <w:t>（a）</w:t>
      </w:r>
      <w:r>
        <w:rPr>
          <w:rFonts w:hint="eastAsia" w:ascii="仿宋_GB2312" w:hAnsi="仿宋_GB2312" w:eastAsia="仿宋_GB2312" w:cs="仿宋_GB2312"/>
          <w:i w:val="0"/>
          <w:iCs w:val="0"/>
          <w:color w:val="auto"/>
          <w:kern w:val="0"/>
          <w:sz w:val="32"/>
          <w:szCs w:val="32"/>
          <w:highlight w:val="none"/>
          <w:u w:val="none"/>
          <w:lang w:val="en-US" w:eastAsia="zh-CN" w:bidi="ar"/>
        </w:rPr>
        <w:t>航线运输驾驶员执照、多人制机组驾驶员执照、商用驾驶员执照申请人或者持有人应当取得并持有I级体检合格证。</w:t>
      </w:r>
    </w:p>
    <w:p w14:paraId="4F36ED59">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53" w:leftChars="25"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color w:val="auto"/>
          <w:kern w:val="2"/>
          <w:sz w:val="32"/>
          <w:szCs w:val="32"/>
          <w:highlight w:val="none"/>
          <w:lang w:val="en-US" w:eastAsia="zh-CN" w:bidi="ar-SA"/>
        </w:rPr>
        <w:t>（b）</w:t>
      </w:r>
      <w:r>
        <w:rPr>
          <w:rFonts w:hint="eastAsia" w:ascii="仿宋_GB2312" w:hAnsi="仿宋_GB2312" w:eastAsia="仿宋_GB2312" w:cs="仿宋_GB2312"/>
          <w:i w:val="0"/>
          <w:iCs w:val="0"/>
          <w:color w:val="auto"/>
          <w:kern w:val="0"/>
          <w:sz w:val="32"/>
          <w:szCs w:val="32"/>
          <w:highlight w:val="none"/>
          <w:u w:val="none"/>
          <w:lang w:val="en-US" w:eastAsia="zh-CN" w:bidi="ar"/>
        </w:rPr>
        <w:t>除（a）款之外的其他航空器驾驶员执照、飞行机械员执照申请人或者持有人应当取得并持有</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Ⅱ级</w:t>
      </w:r>
      <w:r>
        <w:rPr>
          <w:rFonts w:hint="eastAsia" w:ascii="仿宋_GB2312" w:hAnsi="仿宋_GB2312" w:eastAsia="仿宋_GB2312" w:cs="仿宋_GB2312"/>
          <w:i w:val="0"/>
          <w:iCs w:val="0"/>
          <w:color w:val="auto"/>
          <w:kern w:val="0"/>
          <w:sz w:val="32"/>
          <w:szCs w:val="32"/>
          <w:highlight w:val="none"/>
          <w:u w:val="none"/>
          <w:lang w:val="en-US" w:eastAsia="zh-CN" w:bidi="ar"/>
        </w:rPr>
        <w:t>体检合格证。</w:t>
      </w:r>
    </w:p>
    <w:p w14:paraId="53BC9EF5">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53" w:leftChars="25"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color w:val="auto"/>
          <w:kern w:val="2"/>
          <w:sz w:val="32"/>
          <w:szCs w:val="32"/>
          <w:highlight w:val="none"/>
          <w:lang w:val="en-US" w:eastAsia="zh-CN" w:bidi="ar-SA"/>
        </w:rPr>
        <w:t>（c）</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空中交通管制员应当取得并持有Ⅲ级体检合格证。</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（d）</w:t>
      </w:r>
      <w:r>
        <w:rPr>
          <w:rFonts w:hint="eastAsia" w:ascii="仿宋_GB2312" w:hAnsi="仿宋_GB2312" w:eastAsia="仿宋_GB2312" w:cs="仿宋_GB2312"/>
          <w:i w:val="0"/>
          <w:iCs w:val="0"/>
          <w:color w:val="auto"/>
          <w:kern w:val="0"/>
          <w:sz w:val="32"/>
          <w:szCs w:val="32"/>
          <w:highlight w:val="none"/>
          <w:u w:val="none"/>
          <w:lang w:val="en-US" w:eastAsia="zh-CN" w:bidi="ar"/>
        </w:rPr>
        <w:t>乘务员应当取得并持有Ⅳa级体检合格证。</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（e）</w:t>
      </w:r>
      <w:r>
        <w:rPr>
          <w:rFonts w:hint="eastAsia" w:ascii="仿宋_GB2312" w:hAnsi="仿宋_GB2312" w:eastAsia="仿宋_GB2312" w:cs="仿宋_GB2312"/>
          <w:i w:val="0"/>
          <w:iCs w:val="0"/>
          <w:color w:val="auto"/>
          <w:kern w:val="0"/>
          <w:sz w:val="32"/>
          <w:szCs w:val="32"/>
          <w:highlight w:val="none"/>
          <w:u w:val="none"/>
          <w:lang w:val="en-US" w:eastAsia="zh-CN" w:bidi="ar"/>
        </w:rPr>
        <w:t>航空安全员应当取得并持有Ⅳb级体检合格证。</w:t>
      </w:r>
    </w:p>
    <w:p w14:paraId="25C97A1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both"/>
        <w:textAlignment w:val="top"/>
        <w:rPr>
          <w:rStyle w:val="14"/>
          <w:rFonts w:hint="eastAsia" w:ascii="黑体" w:hAnsi="黑体" w:eastAsia="黑体" w:cs="黑体"/>
          <w:b w:val="0"/>
          <w:bCs/>
          <w:color w:val="auto"/>
          <w:highlight w:val="none"/>
          <w:lang w:val="en-US" w:eastAsia="zh-CN"/>
        </w:rPr>
      </w:pPr>
      <w:bookmarkStart w:id="15" w:name="_Toc6202"/>
      <w:r>
        <w:rPr>
          <w:rStyle w:val="14"/>
          <w:rFonts w:hint="eastAsia" w:ascii="黑体" w:hAnsi="黑体" w:eastAsia="黑体" w:cs="黑体"/>
          <w:b w:val="0"/>
          <w:bCs/>
          <w:color w:val="auto"/>
          <w:highlight w:val="none"/>
          <w:lang w:val="en-US" w:eastAsia="zh-CN"/>
        </w:rPr>
        <w:t>第67.23条 体检合格证申请条件</w:t>
      </w:r>
    </w:p>
    <w:bookmarkEnd w:id="15"/>
    <w:p w14:paraId="549693A5">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color w:val="auto"/>
          <w:kern w:val="0"/>
          <w:sz w:val="32"/>
          <w:szCs w:val="32"/>
          <w:highlight w:val="none"/>
          <w:u w:val="none"/>
          <w:lang w:val="en-US" w:eastAsia="zh-CN" w:bidi="ar"/>
        </w:rPr>
        <w:t>体检合格证申请人应当符合本规则附件A规定的相应医学标准，并取得符合中国民航局要求的体检机构出具的体检鉴定合格结论。</w:t>
      </w:r>
    </w:p>
    <w:p w14:paraId="33389AD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both"/>
        <w:textAlignment w:val="top"/>
        <w:rPr>
          <w:rStyle w:val="14"/>
          <w:rFonts w:hint="eastAsia" w:ascii="黑体" w:hAnsi="黑体" w:eastAsia="黑体" w:cs="黑体"/>
          <w:b w:val="0"/>
          <w:bCs/>
          <w:color w:val="auto"/>
          <w:highlight w:val="none"/>
          <w:lang w:val="en-US" w:eastAsia="zh-CN"/>
        </w:rPr>
      </w:pPr>
      <w:bookmarkStart w:id="16" w:name="_Toc32460"/>
      <w:r>
        <w:rPr>
          <w:rStyle w:val="14"/>
          <w:rFonts w:hint="eastAsia" w:ascii="黑体" w:hAnsi="黑体" w:eastAsia="黑体" w:cs="黑体"/>
          <w:b w:val="0"/>
          <w:bCs/>
          <w:color w:val="auto"/>
          <w:highlight w:val="none"/>
          <w:lang w:val="en-US" w:eastAsia="zh-CN"/>
        </w:rPr>
        <w:t xml:space="preserve">第67.25条 申请与受理 </w:t>
      </w:r>
    </w:p>
    <w:bookmarkEnd w:id="16"/>
    <w:p w14:paraId="26DB4E27">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kern w:val="0"/>
          <w:sz w:val="32"/>
          <w:szCs w:val="32"/>
          <w:highlight w:val="none"/>
          <w:u w:val="none"/>
          <w:lang w:val="en-US" w:eastAsia="zh-CN" w:bidi="ar"/>
        </w:rPr>
      </w:pPr>
      <w:r>
        <w:rPr>
          <w:rFonts w:hint="eastAsia" w:ascii="仿宋_GB2312" w:hAnsi="仿宋_GB2312" w:eastAsia="仿宋_GB2312" w:cs="仿宋_GB2312"/>
          <w:i w:val="0"/>
          <w:iCs w:val="0"/>
          <w:color w:val="auto"/>
          <w:kern w:val="0"/>
          <w:sz w:val="32"/>
          <w:szCs w:val="32"/>
          <w:highlight w:val="none"/>
          <w:u w:val="none"/>
          <w:lang w:val="en-US" w:eastAsia="zh-CN" w:bidi="ar"/>
        </w:rPr>
        <w:t>（a）体检合格证申请人应当在获得体检鉴定合格结论后15日内向所在地民航地区管理局提出申请，提交与本次申请办理体检合格证有关的体检文书和医学资料等。</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（b）受理机关在收到申请人办理体检合格证的申请后，应当根据下列情况分别作出是否受理申请的决定：</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（1）不需要取得体检合格证的，应当即时告知申请人不受理。</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（2）不属于本机关职权范围的，应当即时作出不予受理的决定，并告知申请人向有关行政机关申请。</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3）申请材料不齐全或者不符合法定形式的，能够当场补正的，要求申请人当场补正。不能够当场补正的，在5个工作日内一次性告知申请人需要补正的全部内容；逾期不告知的，自收到申请材料之日起即为受理。</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（4）申请事项属于本机关职权范围的，且材料齐全、符合法定形式，或者申请人按照要求提交全部补正材料的，应当受理，并告知申请人。</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 xml:space="preserve">    </w:t>
      </w:r>
      <w:r>
        <w:rPr>
          <w:rStyle w:val="14"/>
          <w:rFonts w:hint="eastAsia" w:ascii="黑体" w:hAnsi="黑体" w:eastAsia="黑体" w:cs="黑体"/>
          <w:b w:val="0"/>
          <w:bCs w:val="0"/>
          <w:color w:val="auto"/>
          <w:highlight w:val="none"/>
          <w:lang w:val="en-US" w:eastAsia="zh-CN"/>
        </w:rPr>
        <w:t>第67.27条 审查与决定</w:t>
      </w:r>
      <w:r>
        <w:rPr>
          <w:rStyle w:val="14"/>
          <w:rFonts w:hint="eastAsia" w:ascii="黑体" w:hAnsi="黑体" w:eastAsia="黑体" w:cs="黑体"/>
          <w:b w:val="0"/>
          <w:bCs w:val="0"/>
          <w:color w:val="auto"/>
          <w:highlight w:val="none"/>
          <w:lang w:val="en-US" w:eastAsia="zh-CN"/>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（a）受理机关应当在受理申请人办证申请之日起20个工作日内，完成办证审查并作出处理决定。20个工作日内不能作出决定的，经受理机关负责人批准，可以延长10个工作日，并应当将延长理由告知申请人。</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（b）审查的主要内容：</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（1）申请人的基本信息</w:t>
      </w:r>
      <w:r>
        <w:rPr>
          <w:rFonts w:hint="eastAsia" w:ascii="仿宋_GB2312" w:hAnsi="仿宋_GB2312" w:eastAsia="仿宋_GB2312" w:cs="仿宋_GB2312"/>
          <w:i w:val="0"/>
          <w:iCs w:val="0"/>
          <w:color w:val="auto"/>
          <w:kern w:val="0"/>
          <w:sz w:val="32"/>
          <w:szCs w:val="32"/>
          <w:highlight w:val="none"/>
          <w:u w:val="none"/>
          <w:lang w:val="en-US" w:eastAsia="zh" w:bidi="ar"/>
        </w:rPr>
        <w:t>；</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（2）体检文书和医学资料；</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strike w:val="0"/>
          <w:dstrike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（3）体检项目和辅助检查项目；</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（4）体检鉴定结论</w:t>
      </w:r>
      <w:r>
        <w:rPr>
          <w:rFonts w:hint="eastAsia" w:ascii="仿宋_GB2312" w:hAnsi="仿宋_GB2312" w:eastAsia="仿宋_GB2312" w:cs="仿宋_GB2312"/>
          <w:i w:val="0"/>
          <w:iCs w:val="0"/>
          <w:color w:val="auto"/>
          <w:kern w:val="0"/>
          <w:sz w:val="32"/>
          <w:szCs w:val="32"/>
          <w:highlight w:val="none"/>
          <w:u w:val="none"/>
          <w:lang w:val="en-US" w:eastAsia="zh-CN" w:bidi="ar"/>
        </w:rPr>
        <w:t>；</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（5）</w:t>
      </w:r>
      <w:r>
        <w:rPr>
          <w:rFonts w:hint="eastAsia" w:ascii="仿宋_GB2312" w:hAnsi="仿宋_GB2312" w:eastAsia="仿宋_GB2312" w:cs="仿宋_GB2312"/>
          <w:i w:val="0"/>
          <w:iCs w:val="0"/>
          <w:color w:val="auto"/>
          <w:kern w:val="0"/>
          <w:sz w:val="32"/>
          <w:szCs w:val="32"/>
          <w:highlight w:val="none"/>
          <w:u w:val="none"/>
          <w:lang w:val="en-US" w:eastAsia="zh-CN" w:bidi="ar"/>
        </w:rPr>
        <w:t>其他可能影响体检鉴定结论的必要内容。</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（c）受理机关根据审查结果作出下列处理决定，并书面通知相关机构和人员：</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（1）认为体检文书和医学资料齐全、体检项目和辅助检查项目符合本规则要求、鉴定结论符合本规则相应医学标准的，应当作出准予行政许可的书面决定，颁发体检合格证。</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（2）认为需要对体检鉴定结论符合性进行进一步认定的，提交专家鉴定，并通知申请人。专家鉴定所需时间不计入审查期限。</w:t>
      </w:r>
    </w:p>
    <w:p w14:paraId="5613D136">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color w:val="auto"/>
          <w:kern w:val="0"/>
          <w:sz w:val="32"/>
          <w:szCs w:val="32"/>
          <w:highlight w:val="none"/>
          <w:u w:val="none"/>
          <w:lang w:val="en-US" w:eastAsia="zh-CN" w:bidi="ar"/>
        </w:rPr>
        <w:t>（3）认为体检鉴定没有针对申请人申请的体检合格证类别相应医学标准和辅助检查项目及频度等要求进行的，应当作出不予行政许可的书面决定。</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（4）认为体检医师适用医学标准不当，做出错误结论的，应当作出不予行政许可的书面决定，并通知体检机构纠正错误。</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（5）受理机关依法作出不予行政许可的书面决定的，应当说明理由，并告知申请人享有依法申请行政复议或者提起行政诉讼的权利。</w:t>
      </w:r>
    </w:p>
    <w:p w14:paraId="16B3E3EB">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pPr>
      <w:bookmarkStart w:id="17" w:name="_Toc28572"/>
      <w:r>
        <w:rPr>
          <w:rStyle w:val="14"/>
          <w:rFonts w:hint="eastAsia" w:ascii="黑体" w:hAnsi="黑体" w:eastAsia="黑体" w:cs="黑体"/>
          <w:b w:val="0"/>
          <w:bCs/>
          <w:color w:val="auto"/>
          <w:highlight w:val="none"/>
          <w:lang w:val="en-US" w:eastAsia="zh-CN"/>
        </w:rPr>
        <w:t>第67.31条 送达</w:t>
      </w:r>
      <w:r>
        <w:rPr>
          <w:rStyle w:val="14"/>
          <w:rFonts w:hint="eastAsia" w:ascii="黑体" w:hAnsi="黑体" w:eastAsia="黑体" w:cs="黑体"/>
          <w:b/>
          <w:color w:val="auto"/>
          <w:highlight w:val="none"/>
          <w:lang w:val="en-US" w:eastAsia="zh-CN"/>
        </w:rPr>
        <w:br w:type="textWrapping"/>
      </w:r>
      <w:bookmarkEnd w:id="17"/>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（a）受理机关作出准予行政许可决定的，在作出决定之日起10个工作日内将体检合格证送达申请人。</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（b）受理机关作出不予行政许可决定的，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在审查期限内</w:t>
      </w:r>
      <w:r>
        <w:rPr>
          <w:rFonts w:hint="eastAsia" w:ascii="仿宋_GB2312" w:hAnsi="仿宋_GB2312" w:eastAsia="仿宋_GB2312" w:cs="仿宋_GB2312"/>
          <w:i w:val="0"/>
          <w:iCs w:val="0"/>
          <w:color w:val="auto"/>
          <w:kern w:val="0"/>
          <w:sz w:val="32"/>
          <w:szCs w:val="32"/>
          <w:highlight w:val="none"/>
          <w:u w:val="none"/>
          <w:lang w:val="en-US" w:eastAsia="zh-CN" w:bidi="ar"/>
        </w:rPr>
        <w:t>将书面决定</w:t>
      </w: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送达申请人。</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 xml:space="preserve">    </w:t>
      </w:r>
      <w:r>
        <w:rPr>
          <w:rStyle w:val="14"/>
          <w:rFonts w:hint="eastAsia" w:ascii="黑体" w:hAnsi="黑体" w:eastAsia="黑体" w:cs="黑体"/>
          <w:b w:val="0"/>
          <w:bCs w:val="0"/>
          <w:color w:val="auto"/>
          <w:highlight w:val="none"/>
          <w:lang w:val="en-US" w:eastAsia="zh-CN"/>
        </w:rPr>
        <w:t xml:space="preserve">第67.33条 有效期 </w:t>
      </w:r>
      <w:r>
        <w:rPr>
          <w:rStyle w:val="14"/>
          <w:rFonts w:hint="eastAsia" w:ascii="黑体" w:hAnsi="黑体" w:eastAsia="黑体" w:cs="黑体"/>
          <w:b w:val="0"/>
          <w:color w:val="auto"/>
          <w:highlight w:val="none"/>
          <w:lang w:val="en-US" w:eastAsia="zh-CN"/>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（a）体检合格证自颁发之日起生效。年龄计算以申请人进行体检鉴定时的实际年龄为准。</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（b）Ⅰ级体检合格证有效期为12个月，年龄满60周岁以上者为6个月。其中参加按照《大型飞机公共航空运输承运人运行合格审定规则》（CCAR-121）规定运行的驾驶员年龄满40周岁以上者为6个月。</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（c）Ⅱ</w:t>
      </w:r>
      <w:r>
        <w:rPr>
          <w:rFonts w:hint="eastAsia" w:ascii="仿宋_GB2312" w:hAnsi="仿宋_GB2312" w:eastAsia="仿宋_GB2312" w:cs="仿宋_GB2312"/>
          <w:i w:val="0"/>
          <w:iCs w:val="0"/>
          <w:color w:val="auto"/>
          <w:kern w:val="0"/>
          <w:sz w:val="32"/>
          <w:szCs w:val="32"/>
          <w:highlight w:val="none"/>
          <w:u w:val="none"/>
          <w:lang w:val="en-US" w:eastAsia="zh-CN" w:bidi="ar"/>
        </w:rPr>
        <w:t>级体检合格证</w:t>
      </w: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有效期为</w:t>
      </w:r>
      <w:r>
        <w:rPr>
          <w:rFonts w:hint="eastAsia" w:ascii="仿宋_GB2312" w:hAnsi="仿宋_GB2312" w:eastAsia="仿宋_GB2312" w:cs="仿宋_GB2312"/>
          <w:b w:val="0"/>
          <w:bCs w:val="0"/>
          <w:i w:val="0"/>
          <w:iCs w:val="0"/>
          <w:strike w:val="0"/>
          <w:dstrike w:val="0"/>
          <w:color w:val="auto"/>
          <w:kern w:val="0"/>
          <w:sz w:val="32"/>
          <w:szCs w:val="32"/>
          <w:highlight w:val="none"/>
          <w:u w:val="none"/>
          <w:lang w:val="en-US" w:eastAsia="zh" w:bidi="ar"/>
        </w:rPr>
        <w:t>36</w:t>
      </w: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个月。其中年龄满40周岁以上者为24个月</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，年龄满50周岁以上者为12个月</w:t>
      </w: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w:t>
      </w:r>
    </w:p>
    <w:p w14:paraId="6C181CAF">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kern w:val="0"/>
          <w:sz w:val="32"/>
          <w:szCs w:val="32"/>
          <w:highlight w:val="none"/>
          <w:u w:val="none"/>
          <w:lang w:val="en-US" w:eastAsia="zh" w:bidi="ar"/>
        </w:rPr>
      </w:pPr>
      <w:r>
        <w:rPr>
          <w:rFonts w:hint="eastAsia" w:ascii="仿宋_GB2312" w:hAnsi="仿宋_GB2312" w:eastAsia="仿宋_GB2312" w:cs="仿宋_GB2312"/>
          <w:i w:val="0"/>
          <w:iCs w:val="0"/>
          <w:color w:val="auto"/>
          <w:kern w:val="0"/>
          <w:sz w:val="32"/>
          <w:szCs w:val="32"/>
          <w:highlight w:val="none"/>
          <w:u w:val="none"/>
          <w:lang w:val="en-US" w:eastAsia="zh-CN" w:bidi="ar"/>
        </w:rPr>
        <w:t>（d）Ⅲ级体检合格证的有效期为24个月。其中年龄满</w:t>
      </w:r>
      <w:r>
        <w:rPr>
          <w:rFonts w:hint="eastAsia" w:ascii="仿宋_GB2312" w:hAnsi="仿宋_GB2312" w:eastAsia="仿宋_GB2312" w:cs="仿宋_GB2312"/>
          <w:b w:val="0"/>
          <w:bCs w:val="0"/>
          <w:i w:val="0"/>
          <w:iCs w:val="0"/>
          <w:strike w:val="0"/>
          <w:dstrike w:val="0"/>
          <w:color w:val="auto"/>
          <w:kern w:val="0"/>
          <w:sz w:val="32"/>
          <w:szCs w:val="32"/>
          <w:highlight w:val="none"/>
          <w:u w:val="none"/>
          <w:lang w:val="en-US" w:eastAsia="zh" w:bidi="ar"/>
        </w:rPr>
        <w:t>50</w:t>
      </w:r>
      <w:r>
        <w:rPr>
          <w:rFonts w:hint="eastAsia" w:ascii="仿宋_GB2312" w:hAnsi="仿宋_GB2312" w:eastAsia="仿宋_GB2312" w:cs="仿宋_GB2312"/>
          <w:i w:val="0"/>
          <w:iCs w:val="0"/>
          <w:color w:val="auto"/>
          <w:kern w:val="0"/>
          <w:sz w:val="32"/>
          <w:szCs w:val="32"/>
          <w:highlight w:val="none"/>
          <w:u w:val="none"/>
          <w:lang w:val="en-US" w:eastAsia="zh-CN" w:bidi="ar"/>
        </w:rPr>
        <w:t>周岁以上者为12个月</w:t>
      </w:r>
      <w:r>
        <w:rPr>
          <w:rFonts w:hint="eastAsia" w:ascii="仿宋_GB2312" w:hAnsi="仿宋_GB2312" w:eastAsia="仿宋_GB2312" w:cs="仿宋_GB2312"/>
          <w:i w:val="0"/>
          <w:iCs w:val="0"/>
          <w:color w:val="auto"/>
          <w:kern w:val="0"/>
          <w:sz w:val="32"/>
          <w:szCs w:val="32"/>
          <w:highlight w:val="none"/>
          <w:u w:val="none"/>
          <w:lang w:val="en-US" w:eastAsia="zh" w:bidi="ar"/>
        </w:rPr>
        <w:t>。</w:t>
      </w:r>
    </w:p>
    <w:p w14:paraId="246E2826">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color w:val="auto"/>
          <w:kern w:val="0"/>
          <w:sz w:val="32"/>
          <w:szCs w:val="32"/>
          <w:highlight w:val="none"/>
          <w:u w:val="none"/>
          <w:lang w:val="en-US" w:eastAsia="zh-CN" w:bidi="ar"/>
        </w:rPr>
        <w:t>（e）Ⅳa级体检合格证和Ⅳb级体检合格证有效期为12个月。</w:t>
      </w:r>
    </w:p>
    <w:p w14:paraId="35B8EF0C">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kern w:val="0"/>
          <w:sz w:val="32"/>
          <w:szCs w:val="32"/>
          <w:highlight w:val="none"/>
          <w:u w:val="none"/>
          <w:lang w:val="en-US" w:eastAsia="zh-CN" w:bidi="ar"/>
        </w:rPr>
      </w:pPr>
      <w:bookmarkStart w:id="18" w:name="_Toc16215"/>
      <w:r>
        <w:rPr>
          <w:rStyle w:val="14"/>
          <w:rFonts w:hint="eastAsia" w:ascii="黑体" w:hAnsi="黑体" w:eastAsia="黑体" w:cs="黑体"/>
          <w:b w:val="0"/>
          <w:bCs/>
          <w:color w:val="auto"/>
          <w:highlight w:val="none"/>
          <w:lang w:val="en-US" w:eastAsia="zh-CN"/>
        </w:rPr>
        <w:t>第67.35条 有效期的延长</w:t>
      </w:r>
      <w:r>
        <w:rPr>
          <w:rStyle w:val="14"/>
          <w:rFonts w:hint="eastAsia" w:ascii="黑体" w:hAnsi="黑体" w:eastAsia="黑体" w:cs="黑体"/>
          <w:b/>
          <w:color w:val="auto"/>
          <w:highlight w:val="none"/>
          <w:lang w:val="en-US" w:eastAsia="zh-CN"/>
        </w:rPr>
        <w:br w:type="textWrapping"/>
      </w:r>
      <w:bookmarkEnd w:id="18"/>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（a）体检合格证持有人由于特殊原因不能在体检合格证有效期届满前进行体检鉴定、更新体检合格证，又必须履行职责时，应当在体检合格证有效期届满前向原颁证机关申请延长体检合格证的有效期。</w:t>
      </w:r>
    </w:p>
    <w:p w14:paraId="1D839EB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color w:val="auto"/>
          <w:kern w:val="0"/>
          <w:sz w:val="32"/>
          <w:szCs w:val="32"/>
          <w:highlight w:val="none"/>
          <w:u w:val="none"/>
          <w:lang w:val="en-US" w:eastAsia="zh-CN" w:bidi="ar"/>
        </w:rPr>
        <w:t>（b）颁证机关接到延长有效期申请后，可以要求体检合格证持有人接受航空医师或者其他执业医师对申请人进行指定检查项目的检查，并根据情况决定是否延长体检合格证的有效期。</w:t>
      </w: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有效期延长时间不得超过</w:t>
      </w:r>
      <w:r>
        <w:rPr>
          <w:rFonts w:hint="eastAsia" w:ascii="仿宋_GB2312" w:hAnsi="仿宋_GB2312" w:eastAsia="仿宋_GB2312" w:cs="仿宋_GB2312"/>
          <w:i w:val="0"/>
          <w:iCs w:val="0"/>
          <w:strike w:val="0"/>
          <w:dstrike w:val="0"/>
          <w:color w:val="auto"/>
          <w:kern w:val="0"/>
          <w:sz w:val="32"/>
          <w:szCs w:val="32"/>
          <w:highlight w:val="none"/>
          <w:u w:val="none"/>
          <w:lang w:val="en-US" w:eastAsia="zh" w:bidi="ar"/>
        </w:rPr>
        <w:t>45日。</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（c）颁证机关应当在体检合格证有效期届满前作出决定。同意申请人体检合格证有效期延长的，应当书面通知申请人。</w:t>
      </w:r>
    </w:p>
    <w:p w14:paraId="5C9F1C1B">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kern w:val="0"/>
          <w:sz w:val="32"/>
          <w:szCs w:val="32"/>
          <w:highlight w:val="none"/>
          <w:u w:val="none"/>
          <w:lang w:val="en-US" w:eastAsia="zh-CN" w:bidi="ar"/>
        </w:rPr>
      </w:pPr>
      <w:bookmarkStart w:id="19" w:name="_Toc19427"/>
      <w:r>
        <w:rPr>
          <w:rStyle w:val="14"/>
          <w:rFonts w:hint="eastAsia" w:ascii="黑体" w:hAnsi="黑体" w:eastAsia="黑体" w:cs="黑体"/>
          <w:b w:val="0"/>
          <w:bCs/>
          <w:color w:val="auto"/>
          <w:highlight w:val="none"/>
          <w:lang w:val="en-US" w:eastAsia="zh-CN"/>
        </w:rPr>
        <w:t xml:space="preserve">第67.37条 符合性要求 </w:t>
      </w:r>
      <w:r>
        <w:rPr>
          <w:rStyle w:val="14"/>
          <w:rFonts w:hint="eastAsia" w:ascii="黑体" w:hAnsi="黑体" w:eastAsia="黑体" w:cs="黑体"/>
          <w:b/>
          <w:color w:val="auto"/>
          <w:highlight w:val="none"/>
          <w:lang w:val="en-US" w:eastAsia="zh-CN"/>
        </w:rPr>
        <w:br w:type="textWrapping"/>
      </w:r>
      <w:bookmarkEnd w:id="19"/>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（a）体检合格证持有人履行职责时应当遵守以下要求：</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（1）履行职责时持有相应的有效体检合格证；</w:t>
      </w:r>
    </w:p>
    <w:p w14:paraId="1E945244">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color w:val="auto"/>
          <w:kern w:val="0"/>
          <w:sz w:val="32"/>
          <w:szCs w:val="32"/>
          <w:highlight w:val="none"/>
          <w:u w:val="none"/>
          <w:lang w:val="en-US" w:eastAsia="zh-CN" w:bidi="ar"/>
        </w:rPr>
        <w:t>（2）遵守体检合格证上载明的限制要求</w:t>
      </w:r>
      <w:r>
        <w:rPr>
          <w:rFonts w:hint="eastAsia" w:ascii="仿宋_GB2312" w:hAnsi="仿宋_GB2312" w:eastAsia="仿宋_GB2312" w:cs="仿宋_GB2312"/>
          <w:i w:val="0"/>
          <w:iCs w:val="0"/>
          <w:color w:val="auto"/>
          <w:kern w:val="0"/>
          <w:sz w:val="32"/>
          <w:szCs w:val="32"/>
          <w:highlight w:val="none"/>
          <w:u w:val="none"/>
          <w:lang w:val="en-US" w:eastAsia="zh" w:bidi="ar"/>
        </w:rPr>
        <w:t>；</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（3）在身</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心</w:t>
      </w:r>
      <w:r>
        <w:rPr>
          <w:rFonts w:hint="eastAsia" w:ascii="仿宋_GB2312" w:hAnsi="仿宋_GB2312" w:eastAsia="仿宋_GB2312" w:cs="仿宋_GB2312"/>
          <w:i w:val="0"/>
          <w:iCs w:val="0"/>
          <w:color w:val="auto"/>
          <w:kern w:val="0"/>
          <w:sz w:val="32"/>
          <w:szCs w:val="32"/>
          <w:highlight w:val="none"/>
          <w:u w:val="none"/>
          <w:lang w:val="en-US" w:eastAsia="zh-CN" w:bidi="ar"/>
        </w:rPr>
        <w:t>状况发生变化可能不符合体检合格证相应医学标准时，</w:t>
      </w:r>
      <w:r>
        <w:rPr>
          <w:rFonts w:hint="eastAsia" w:ascii="仿宋_GB2312" w:hAnsi="仿宋_GB2312" w:eastAsia="仿宋_GB2312" w:cs="仿宋_GB2312"/>
          <w:i w:val="0"/>
          <w:iCs w:val="0"/>
          <w:color w:val="auto"/>
          <w:kern w:val="0"/>
          <w:sz w:val="32"/>
          <w:szCs w:val="32"/>
          <w:highlight w:val="none"/>
          <w:u w:val="none"/>
          <w:lang w:val="en-US" w:eastAsia="zh" w:bidi="ar"/>
        </w:rPr>
        <w:t>停止</w:t>
      </w:r>
      <w:r>
        <w:rPr>
          <w:rFonts w:hint="eastAsia" w:ascii="仿宋_GB2312" w:hAnsi="仿宋_GB2312" w:eastAsia="仿宋_GB2312" w:cs="仿宋_GB2312"/>
          <w:i w:val="0"/>
          <w:iCs w:val="0"/>
          <w:color w:val="auto"/>
          <w:kern w:val="0"/>
          <w:sz w:val="32"/>
          <w:szCs w:val="32"/>
          <w:highlight w:val="none"/>
          <w:u w:val="none"/>
          <w:lang w:val="en-US" w:eastAsia="zh-CN" w:bidi="ar"/>
        </w:rPr>
        <w:t>履行职责，并及时报告运行</w:t>
      </w: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单位</w:t>
      </w:r>
      <w:r>
        <w:rPr>
          <w:rFonts w:hint="eastAsia" w:ascii="仿宋_GB2312" w:hAnsi="仿宋_GB2312" w:eastAsia="仿宋_GB2312" w:cs="仿宋_GB2312"/>
          <w:i w:val="0"/>
          <w:iCs w:val="0"/>
          <w:color w:val="auto"/>
          <w:kern w:val="0"/>
          <w:sz w:val="32"/>
          <w:szCs w:val="32"/>
          <w:highlight w:val="none"/>
          <w:u w:val="none"/>
          <w:lang w:val="en-US" w:eastAsia="zh-CN" w:bidi="ar"/>
        </w:rPr>
        <w:t>。</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（b）体检合格证持有人运行单位应当遵守以下要求：</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（1）在体检合格证持有人履行职责前，确认其身心状况符合所持体检合格证的相应医学标准，并能够满足履行职责的需要；</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（2）建立体检合格证持有人健康观察档案，了解掌握其健康状况，实施健康风险管理和相应医疗保健措施；</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（3）督促患有疾病的体检合格证持有人有针对性地采取疾病矫治措施。</w:t>
      </w:r>
    </w:p>
    <w:p w14:paraId="0837810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both"/>
        <w:textAlignment w:val="top"/>
        <w:rPr>
          <w:rStyle w:val="14"/>
          <w:rFonts w:hint="eastAsia" w:ascii="黑体" w:hAnsi="黑体" w:eastAsia="黑体" w:cs="黑体"/>
          <w:b w:val="0"/>
          <w:bCs/>
          <w:color w:val="auto"/>
          <w:highlight w:val="none"/>
          <w:lang w:val="en-US" w:eastAsia="zh-CN"/>
        </w:rPr>
      </w:pPr>
      <w:bookmarkStart w:id="20" w:name="_Toc18358"/>
      <w:r>
        <w:rPr>
          <w:rStyle w:val="14"/>
          <w:rFonts w:hint="eastAsia" w:ascii="黑体" w:hAnsi="黑体" w:eastAsia="黑体" w:cs="黑体"/>
          <w:b w:val="0"/>
          <w:bCs/>
          <w:color w:val="auto"/>
          <w:highlight w:val="none"/>
          <w:lang w:val="en-US" w:eastAsia="zh-CN"/>
        </w:rPr>
        <w:t>第67.41条 信息变更</w:t>
      </w:r>
    </w:p>
    <w:bookmarkEnd w:id="20"/>
    <w:p w14:paraId="1BE80EB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color w:val="auto"/>
          <w:kern w:val="0"/>
          <w:sz w:val="32"/>
          <w:szCs w:val="32"/>
          <w:highlight w:val="none"/>
          <w:u w:val="none"/>
          <w:lang w:val="en-US" w:eastAsia="zh-CN" w:bidi="ar"/>
        </w:rPr>
        <w:t>体检合格证载明的姓名和国籍等信息发生变化时，持有人应当向原颁证机关申请信息变更。颁证机关审查确认申请人有关信息属实后，为其办理体检合格</w:t>
      </w:r>
      <w:r>
        <w:rPr>
          <w:rFonts w:hint="eastAsia" w:ascii="仿宋_GB2312" w:hAnsi="仿宋_GB2312" w:eastAsia="仿宋_GB2312" w:cs="仿宋_GB2312"/>
          <w:i w:val="0"/>
          <w:iCs w:val="0"/>
          <w:strike w:val="0"/>
          <w:dstrike w:val="0"/>
          <w:color w:val="auto"/>
          <w:kern w:val="0"/>
          <w:sz w:val="32"/>
          <w:szCs w:val="32"/>
          <w:highlight w:val="none"/>
          <w:u w:val="none"/>
          <w:lang w:val="en-US" w:eastAsia="zh-CN" w:bidi="ar"/>
        </w:rPr>
        <w:t>证变更</w:t>
      </w:r>
      <w:r>
        <w:rPr>
          <w:rFonts w:hint="eastAsia" w:ascii="仿宋_GB2312" w:hAnsi="仿宋_GB2312" w:eastAsia="仿宋_GB2312" w:cs="仿宋_GB2312"/>
          <w:i w:val="0"/>
          <w:iCs w:val="0"/>
          <w:color w:val="auto"/>
          <w:kern w:val="0"/>
          <w:sz w:val="32"/>
          <w:szCs w:val="32"/>
          <w:highlight w:val="none"/>
          <w:u w:val="none"/>
          <w:lang w:val="en-US" w:eastAsia="zh-CN" w:bidi="ar"/>
        </w:rPr>
        <w:t>。变更后的体检合格证的有效期和限制要求与原体检合格证相同。</w:t>
      </w:r>
    </w:p>
    <w:p w14:paraId="1E25E2BF">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bookmarkStart w:id="21" w:name="_Toc29125"/>
      <w:r>
        <w:rPr>
          <w:rStyle w:val="14"/>
          <w:rFonts w:hint="eastAsia" w:ascii="黑体" w:hAnsi="黑体" w:eastAsia="黑体" w:cs="黑体"/>
          <w:b w:val="0"/>
          <w:bCs/>
          <w:color w:val="auto"/>
          <w:highlight w:val="none"/>
          <w:lang w:val="en-US" w:eastAsia="zh-CN"/>
        </w:rPr>
        <w:t>第67.43条 特许颁发</w:t>
      </w:r>
      <w:r>
        <w:rPr>
          <w:rStyle w:val="14"/>
          <w:rFonts w:hint="eastAsia" w:ascii="黑体" w:hAnsi="黑体" w:eastAsia="黑体" w:cs="黑体"/>
          <w:b/>
          <w:color w:val="auto"/>
          <w:highlight w:val="none"/>
          <w:lang w:val="en-US" w:eastAsia="zh-CN"/>
        </w:rPr>
        <w:t xml:space="preserve"> </w:t>
      </w:r>
      <w:r>
        <w:rPr>
          <w:rStyle w:val="14"/>
          <w:rFonts w:hint="eastAsia" w:ascii="黑体" w:hAnsi="黑体" w:eastAsia="黑体" w:cs="黑体"/>
          <w:b/>
          <w:color w:val="auto"/>
          <w:highlight w:val="none"/>
          <w:lang w:val="en-US" w:eastAsia="zh-CN"/>
        </w:rPr>
        <w:br w:type="textWrapping"/>
      </w:r>
      <w:bookmarkEnd w:id="21"/>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（a）再次申请I、</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Ⅱ和Ⅲ</w:t>
      </w:r>
      <w:r>
        <w:rPr>
          <w:rFonts w:hint="eastAsia" w:ascii="仿宋_GB2312" w:hAnsi="仿宋_GB2312" w:eastAsia="仿宋_GB2312" w:cs="仿宋_GB2312"/>
          <w:i w:val="0"/>
          <w:iCs w:val="0"/>
          <w:color w:val="auto"/>
          <w:kern w:val="0"/>
          <w:sz w:val="32"/>
          <w:szCs w:val="32"/>
          <w:highlight w:val="none"/>
          <w:u w:val="none"/>
          <w:lang w:val="en-US" w:eastAsia="zh-CN" w:bidi="ar"/>
        </w:rPr>
        <w:t>级体检合格证的申请人（</w:t>
      </w:r>
      <w:r>
        <w:rPr>
          <w:rFonts w:hint="default" w:ascii="仿宋_GB2312" w:hAnsi="仿宋_GB2312" w:eastAsia="仿宋_GB2312" w:cs="仿宋_GB2312"/>
          <w:i w:val="0"/>
          <w:iCs w:val="0"/>
          <w:color w:val="auto"/>
          <w:kern w:val="0"/>
          <w:sz w:val="32"/>
          <w:szCs w:val="32"/>
          <w:highlight w:val="none"/>
          <w:u w:val="none"/>
          <w:lang w:val="en-US" w:eastAsia="zh-CN" w:bidi="ar"/>
        </w:rPr>
        <w:t>学员</w:t>
      </w:r>
      <w:r>
        <w:rPr>
          <w:rFonts w:hint="eastAsia" w:ascii="仿宋_GB2312" w:hAnsi="仿宋_GB2312" w:eastAsia="仿宋_GB2312" w:cs="仿宋_GB2312"/>
          <w:i w:val="0"/>
          <w:iCs w:val="0"/>
          <w:color w:val="auto"/>
          <w:kern w:val="0"/>
          <w:sz w:val="32"/>
          <w:szCs w:val="32"/>
          <w:highlight w:val="none"/>
          <w:u w:val="none"/>
          <w:lang w:val="en-US" w:eastAsia="zh-CN" w:bidi="ar"/>
        </w:rPr>
        <w:t>和学生驾驶员除外），在体检鉴定结论不合格时，如果有充分理由证明能够安全履行职责，并且不会因为履行职责加重病情或者使健康状况恶化时，可以进行特许体检鉴定，并提交下列文件：</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（1）申请表；</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（2）</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运行</w:t>
      </w:r>
      <w:r>
        <w:rPr>
          <w:rFonts w:hint="eastAsia" w:ascii="仿宋_GB2312" w:hAnsi="仿宋_GB2312" w:eastAsia="仿宋_GB2312" w:cs="仿宋_GB2312"/>
          <w:i w:val="0"/>
          <w:iCs w:val="0"/>
          <w:color w:val="auto"/>
          <w:kern w:val="0"/>
          <w:sz w:val="32"/>
          <w:szCs w:val="32"/>
          <w:highlight w:val="none"/>
          <w:u w:val="none"/>
          <w:lang w:val="en-US" w:eastAsia="zh-CN" w:bidi="ar"/>
        </w:rPr>
        <w:t>单位证明文件（私用驾驶员执照持有人除外）；</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（3）技术专家出具的技术能力证明文件；</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（4）体检文书和医学资料；</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（5）需要提交的其他资料。</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（b）按照本规则第67.15条的规定进行特许体检鉴定。</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（c）特许体检鉴定合格的申请人可以向民航地区管理局提出特许颁发体检合格证申请。</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d）民航地区管理局按照本规则第67.25条和第67.27条的规定进行受理和审查。根据申请人的基本情况、履行职责时承担的安全责任、可接受的保证安全履行职责采用的医疗措施以及实施的可能性等因素，作出是否特许颁发体检合格证的许可决定。准予特许的，颁发体检合格证；不予特许的，依法作出不予行政许可的书面决定的，应当说明理由，并告知申请人享有依法申请行政复议或者提起行政诉讼的权利。</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（e）特许颁发的体检合格证上应当载明下列一项或者多项限制条件：</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（1）职责或者任务限制；</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（2）履行职责的时间限制；</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（3）安全履行职责必需的医疗保障要求；</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（4）必要的其他限制。</w:t>
      </w:r>
    </w:p>
    <w:p w14:paraId="1C9BBC92">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sz w:val="32"/>
          <w:szCs w:val="32"/>
          <w:highlight w:val="none"/>
        </w:rPr>
      </w:pPr>
      <w:bookmarkStart w:id="22" w:name="_Toc21806"/>
      <w:r>
        <w:rPr>
          <w:rStyle w:val="14"/>
          <w:rFonts w:hint="eastAsia" w:ascii="黑体" w:hAnsi="黑体" w:eastAsia="黑体" w:cs="黑体"/>
          <w:b w:val="0"/>
          <w:bCs/>
          <w:color w:val="auto"/>
          <w:sz w:val="32"/>
          <w:szCs w:val="32"/>
          <w:highlight w:val="none"/>
          <w:lang w:val="en-US" w:eastAsia="zh-CN"/>
        </w:rPr>
        <w:t xml:space="preserve">第67.45条 </w:t>
      </w:r>
      <w:r>
        <w:rPr>
          <w:rFonts w:hint="eastAsia" w:ascii="黑体" w:hAnsi="黑体" w:eastAsia="黑体" w:cs="黑体"/>
          <w:color w:val="333333"/>
          <w:sz w:val="32"/>
          <w:szCs w:val="32"/>
          <w:highlight w:val="none"/>
        </w:rPr>
        <w:t>外国或者香港、澳门特别行政区</w:t>
      </w:r>
      <w:r>
        <w:rPr>
          <w:rFonts w:hint="eastAsia" w:ascii="黑体" w:hAnsi="黑体" w:eastAsia="黑体" w:cs="黑体"/>
          <w:color w:val="333333"/>
          <w:sz w:val="32"/>
          <w:szCs w:val="32"/>
          <w:highlight w:val="none"/>
          <w:lang w:val="en-US" w:eastAsia="zh-CN"/>
        </w:rPr>
        <w:t>驾驶员体检合格证</w:t>
      </w:r>
      <w:r>
        <w:rPr>
          <w:rStyle w:val="14"/>
          <w:rFonts w:hint="eastAsia" w:ascii="黑体" w:hAnsi="黑体" w:eastAsia="黑体" w:cs="黑体"/>
          <w:b w:val="0"/>
          <w:bCs/>
          <w:color w:val="auto"/>
          <w:sz w:val="32"/>
          <w:szCs w:val="32"/>
          <w:highlight w:val="none"/>
          <w:lang w:val="en-US" w:eastAsia="zh-CN"/>
        </w:rPr>
        <w:t xml:space="preserve">管理 </w:t>
      </w:r>
      <w:r>
        <w:rPr>
          <w:rStyle w:val="14"/>
          <w:rFonts w:hint="eastAsia" w:ascii="黑体" w:hAnsi="黑体" w:eastAsia="黑体" w:cs="黑体"/>
          <w:b/>
          <w:color w:val="auto"/>
          <w:sz w:val="32"/>
          <w:szCs w:val="32"/>
          <w:highlight w:val="none"/>
          <w:lang w:val="en-US" w:eastAsia="zh-CN"/>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（a）持有</w:t>
      </w:r>
      <w:r>
        <w:rPr>
          <w:rFonts w:hint="eastAsia" w:ascii="仿宋_GB2312" w:hAnsi="仿宋_GB2312" w:eastAsia="仿宋_GB2312" w:cs="仿宋_GB2312"/>
          <w:color w:val="333333"/>
          <w:sz w:val="32"/>
          <w:szCs w:val="32"/>
          <w:highlight w:val="none"/>
        </w:rPr>
        <w:t>国际民用航空公约缔约国或者香港、澳门特别行政区颁发的</w:t>
      </w:r>
      <w:r>
        <w:rPr>
          <w:rFonts w:hint="eastAsia" w:ascii="仿宋_GB2312" w:hAnsi="仿宋_GB2312" w:eastAsia="仿宋_GB2312" w:cs="仿宋_GB2312"/>
          <w:color w:val="333333"/>
          <w:sz w:val="32"/>
          <w:szCs w:val="32"/>
          <w:highlight w:val="none"/>
          <w:lang w:val="en-US" w:eastAsia="zh-CN"/>
        </w:rPr>
        <w:t>体检合格证</w:t>
      </w:r>
      <w:r>
        <w:rPr>
          <w:rFonts w:hint="eastAsia" w:ascii="仿宋_GB2312" w:hAnsi="仿宋_GB2312" w:eastAsia="仿宋_GB2312" w:cs="仿宋_GB2312"/>
          <w:color w:val="333333"/>
          <w:sz w:val="32"/>
          <w:szCs w:val="32"/>
          <w:highlight w:val="none"/>
        </w:rPr>
        <w:t>持有人可以申请按照本规则颁发的</w:t>
      </w:r>
      <w:r>
        <w:rPr>
          <w:rFonts w:hint="eastAsia" w:ascii="仿宋_GB2312" w:hAnsi="仿宋_GB2312" w:eastAsia="仿宋_GB2312" w:cs="仿宋_GB2312"/>
          <w:color w:val="333333"/>
          <w:sz w:val="32"/>
          <w:szCs w:val="32"/>
          <w:highlight w:val="none"/>
          <w:lang w:val="en-US" w:eastAsia="zh-CN"/>
        </w:rPr>
        <w:t>体检合格证认可证书。</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（b）民航地区管理局在收到</w:t>
      </w:r>
      <w:r>
        <w:rPr>
          <w:rFonts w:hint="eastAsia" w:ascii="仿宋_GB2312" w:hAnsi="仿宋_GB2312" w:eastAsia="仿宋_GB2312" w:cs="仿宋_GB2312"/>
          <w:color w:val="333333"/>
          <w:sz w:val="32"/>
          <w:szCs w:val="32"/>
          <w:highlight w:val="none"/>
        </w:rPr>
        <w:t>外国或者香港、澳门特别行政区</w:t>
      </w:r>
      <w:r>
        <w:rPr>
          <w:rFonts w:hint="eastAsia" w:ascii="仿宋_GB2312" w:hAnsi="仿宋_GB2312" w:eastAsia="仿宋_GB2312" w:cs="仿宋_GB2312"/>
          <w:color w:val="333333"/>
          <w:sz w:val="32"/>
          <w:szCs w:val="32"/>
          <w:highlight w:val="none"/>
          <w:lang w:val="en-US" w:eastAsia="zh-CN"/>
        </w:rPr>
        <w:t>驾驶员体检合格证</w:t>
      </w:r>
      <w:r>
        <w:rPr>
          <w:rFonts w:hint="eastAsia" w:ascii="仿宋_GB2312" w:hAnsi="仿宋_GB2312" w:eastAsia="仿宋_GB2312" w:cs="仿宋_GB2312"/>
          <w:color w:val="333333"/>
          <w:sz w:val="32"/>
          <w:szCs w:val="32"/>
          <w:highlight w:val="none"/>
        </w:rPr>
        <w:t>持有人颁发</w:t>
      </w:r>
      <w:r>
        <w:rPr>
          <w:rFonts w:hint="eastAsia" w:ascii="仿宋_GB2312" w:hAnsi="仿宋_GB2312" w:eastAsia="仿宋_GB2312" w:cs="仿宋_GB2312"/>
          <w:color w:val="333333"/>
          <w:sz w:val="32"/>
          <w:szCs w:val="32"/>
          <w:highlight w:val="none"/>
          <w:lang w:val="en-US" w:eastAsia="zh-CN"/>
        </w:rPr>
        <w:t>本规则</w:t>
      </w:r>
      <w:r>
        <w:rPr>
          <w:rFonts w:hint="eastAsia" w:ascii="仿宋_GB2312" w:hAnsi="仿宋_GB2312" w:eastAsia="仿宋_GB2312" w:cs="仿宋_GB2312"/>
          <w:color w:val="333333"/>
          <w:sz w:val="32"/>
          <w:szCs w:val="32"/>
          <w:highlight w:val="none"/>
        </w:rPr>
        <w:t>的</w:t>
      </w:r>
      <w:r>
        <w:rPr>
          <w:rFonts w:hint="eastAsia" w:ascii="仿宋_GB2312" w:hAnsi="仿宋_GB2312" w:eastAsia="仿宋_GB2312" w:cs="仿宋_GB2312"/>
          <w:color w:val="333333"/>
          <w:sz w:val="32"/>
          <w:szCs w:val="32"/>
          <w:highlight w:val="none"/>
          <w:lang w:val="en-US" w:eastAsia="zh-CN"/>
        </w:rPr>
        <w:t>体检合格证认可证书的</w:t>
      </w:r>
      <w:r>
        <w:rPr>
          <w:rFonts w:hint="eastAsia" w:ascii="仿宋_GB2312" w:hAnsi="仿宋_GB2312" w:eastAsia="仿宋_GB2312" w:cs="仿宋_GB2312"/>
          <w:i w:val="0"/>
          <w:iCs w:val="0"/>
          <w:color w:val="auto"/>
          <w:kern w:val="0"/>
          <w:sz w:val="32"/>
          <w:szCs w:val="32"/>
          <w:highlight w:val="none"/>
          <w:u w:val="none"/>
          <w:lang w:val="en-US" w:eastAsia="zh-CN" w:bidi="ar"/>
        </w:rPr>
        <w:t>申请后，按照本规则第67.25条和第67.27条的规定进行受理和审查。审查认为符合相应要求的，给予颁发相应的体检合格证认可证书；审查认为不符合相应要求的，不予颁发体检合格证认可证书，并书面通知申请人和其运行单位。</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（c）参加我国航空单位飞行运行的</w:t>
      </w:r>
      <w:r>
        <w:rPr>
          <w:rFonts w:hint="eastAsia" w:ascii="仿宋_GB2312" w:hAnsi="仿宋_GB2312" w:eastAsia="仿宋_GB2312" w:cs="仿宋_GB2312"/>
          <w:color w:val="333333"/>
          <w:sz w:val="32"/>
          <w:szCs w:val="32"/>
          <w:highlight w:val="none"/>
        </w:rPr>
        <w:t>外国或者香港、澳门特别行政区</w:t>
      </w:r>
      <w:r>
        <w:rPr>
          <w:rFonts w:hint="eastAsia" w:ascii="仿宋_GB2312" w:hAnsi="仿宋_GB2312" w:eastAsia="仿宋_GB2312" w:cs="仿宋_GB2312"/>
          <w:color w:val="333333"/>
          <w:sz w:val="32"/>
          <w:szCs w:val="32"/>
          <w:highlight w:val="none"/>
          <w:lang w:val="en-US" w:eastAsia="zh-CN"/>
        </w:rPr>
        <w:t>驾驶员</w:t>
      </w:r>
      <w:r>
        <w:rPr>
          <w:rFonts w:hint="eastAsia" w:ascii="仿宋_GB2312" w:hAnsi="仿宋_GB2312" w:eastAsia="仿宋_GB2312" w:cs="仿宋_GB2312"/>
          <w:i w:val="0"/>
          <w:iCs w:val="0"/>
          <w:color w:val="auto"/>
          <w:kern w:val="0"/>
          <w:sz w:val="32"/>
          <w:szCs w:val="32"/>
          <w:highlight w:val="none"/>
          <w:u w:val="none"/>
          <w:lang w:val="en-US" w:eastAsia="zh-CN" w:bidi="ar"/>
        </w:rPr>
        <w:t>履行职责时，应当同时持有</w:t>
      </w:r>
      <w:r>
        <w:rPr>
          <w:rFonts w:hint="eastAsia" w:ascii="仿宋_GB2312" w:hAnsi="仿宋_GB2312" w:eastAsia="仿宋_GB2312" w:cs="仿宋_GB2312"/>
          <w:color w:val="333333"/>
          <w:sz w:val="32"/>
          <w:szCs w:val="32"/>
          <w:highlight w:val="none"/>
        </w:rPr>
        <w:t>国际民用航空公约缔约国或者香港、澳门特别行政区颁发的</w:t>
      </w:r>
      <w:r>
        <w:rPr>
          <w:rFonts w:hint="eastAsia" w:ascii="仿宋_GB2312" w:hAnsi="仿宋_GB2312" w:eastAsia="仿宋_GB2312" w:cs="仿宋_GB2312"/>
          <w:i w:val="0"/>
          <w:iCs w:val="0"/>
          <w:color w:val="auto"/>
          <w:kern w:val="0"/>
          <w:sz w:val="32"/>
          <w:szCs w:val="32"/>
          <w:highlight w:val="none"/>
          <w:u w:val="none"/>
          <w:lang w:val="en-US" w:eastAsia="zh-CN" w:bidi="ar"/>
        </w:rPr>
        <w:t>有效</w:t>
      </w:r>
      <w:r>
        <w:rPr>
          <w:rFonts w:hint="eastAsia" w:ascii="仿宋_GB2312" w:hAnsi="仿宋_GB2312" w:eastAsia="仿宋_GB2312" w:cs="仿宋_GB2312"/>
          <w:color w:val="333333"/>
          <w:sz w:val="32"/>
          <w:szCs w:val="32"/>
          <w:highlight w:val="none"/>
          <w:lang w:val="en-US" w:eastAsia="zh-CN"/>
        </w:rPr>
        <w:t>体检合格证</w:t>
      </w:r>
      <w:r>
        <w:rPr>
          <w:rFonts w:hint="eastAsia" w:ascii="仿宋_GB2312" w:hAnsi="仿宋_GB2312" w:eastAsia="仿宋_GB2312" w:cs="仿宋_GB2312"/>
          <w:i w:val="0"/>
          <w:iCs w:val="0"/>
          <w:color w:val="auto"/>
          <w:kern w:val="0"/>
          <w:sz w:val="32"/>
          <w:szCs w:val="32"/>
          <w:highlight w:val="none"/>
          <w:u w:val="none"/>
          <w:lang w:val="en-US" w:eastAsia="zh-CN" w:bidi="ar"/>
        </w:rPr>
        <w:t>和依照本规则颁发的有效体检合格证认可证书，或者持有依照本规则颁发的有效体检合格证。</w:t>
      </w:r>
    </w:p>
    <w:bookmarkEnd w:id="22"/>
    <w:p w14:paraId="28DD8DAA">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bookmarkStart w:id="23" w:name="_Toc6050"/>
      <w:r>
        <w:rPr>
          <w:rStyle w:val="14"/>
          <w:rFonts w:hint="eastAsia" w:ascii="黑体" w:hAnsi="黑体" w:eastAsia="黑体" w:cs="黑体"/>
          <w:b w:val="0"/>
          <w:bCs/>
          <w:color w:val="auto"/>
          <w:highlight w:val="none"/>
          <w:lang w:val="en-US" w:eastAsia="zh-CN"/>
        </w:rPr>
        <w:t>第67.47条 监督检查</w:t>
      </w:r>
      <w:r>
        <w:rPr>
          <w:rStyle w:val="14"/>
          <w:rFonts w:hint="eastAsia" w:ascii="黑体" w:hAnsi="黑体" w:eastAsia="黑体" w:cs="黑体"/>
          <w:b/>
          <w:color w:val="auto"/>
          <w:highlight w:val="none"/>
          <w:lang w:val="en-US" w:eastAsia="zh-CN"/>
        </w:rPr>
        <w:br w:type="textWrapping"/>
      </w:r>
      <w:bookmarkEnd w:id="23"/>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a）中国民航局应当建立健全监督检查制度，监督检查体检鉴定和颁发体检合格证等工作，及时纠正违法、违规和违纪的行为。民航地区管理局应当建立健全本地区体检鉴定和申请办理体检合格证管理制度，监督检查本地区体检鉴定等工作，及时纠正违法、违规和违纪的行为。</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b）局方应当依据本规则对体检合格证持有人履行职责时体检合格证和体检合格证认可证书的有效性进行监督检查。监督检查时不得妨碍其正常的生产经营活动，不得索取或者收受被许可人的财物，不得谋取其他利益。</w:t>
      </w:r>
    </w:p>
    <w:p w14:paraId="286F5F05">
      <w:pPr>
        <w:keepNext w:val="0"/>
        <w:keepLines w:val="0"/>
        <w:pageBreakBefore w:val="0"/>
        <w:widowControl/>
        <w:suppressLineNumbers w:val="0"/>
        <w:kinsoku/>
        <w:wordWrap/>
        <w:overflowPunct/>
        <w:topLinePunct w:val="0"/>
        <w:autoSpaceDE/>
        <w:autoSpaceDN/>
        <w:bidi w:val="0"/>
        <w:adjustRightInd/>
        <w:snapToGrid/>
        <w:spacing w:line="600" w:lineRule="exact"/>
        <w:ind w:firstLine="600" w:firstLineChars="200"/>
        <w:jc w:val="both"/>
        <w:textAlignment w:val="top"/>
        <w:rPr>
          <w:rStyle w:val="14"/>
          <w:rFonts w:hint="eastAsia" w:ascii="黑体" w:hAnsi="黑体" w:eastAsia="黑体" w:cs="黑体"/>
          <w:b w:val="0"/>
          <w:bCs/>
          <w:color w:val="auto"/>
          <w:sz w:val="30"/>
          <w:szCs w:val="30"/>
          <w:highlight w:val="none"/>
          <w:lang w:val="en-US" w:eastAsia="zh-CN"/>
        </w:rPr>
      </w:pPr>
      <w:bookmarkStart w:id="24" w:name="_Toc5610"/>
      <w:r>
        <w:rPr>
          <w:rStyle w:val="14"/>
          <w:rFonts w:hint="eastAsia" w:ascii="黑体" w:hAnsi="黑体" w:eastAsia="黑体" w:cs="黑体"/>
          <w:b w:val="0"/>
          <w:bCs/>
          <w:color w:val="auto"/>
          <w:sz w:val="30"/>
          <w:szCs w:val="30"/>
          <w:highlight w:val="none"/>
          <w:lang w:val="en-US" w:eastAsia="zh-CN"/>
        </w:rPr>
        <w:t>第67.49条 体检合格证的撤销</w:t>
      </w:r>
    </w:p>
    <w:bookmarkEnd w:id="24"/>
    <w:p w14:paraId="0281F6E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kern w:val="0"/>
          <w:sz w:val="32"/>
          <w:szCs w:val="32"/>
          <w:highlight w:val="none"/>
          <w:u w:val="none"/>
          <w:lang w:val="en-US" w:eastAsia="zh-CN" w:bidi="ar"/>
        </w:rPr>
      </w:pP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（a）</w:t>
      </w:r>
      <w:r>
        <w:rPr>
          <w:rFonts w:hint="eastAsia" w:ascii="仿宋_GB2312" w:hAnsi="仿宋_GB2312" w:eastAsia="仿宋_GB2312" w:cs="仿宋_GB2312"/>
          <w:i w:val="0"/>
          <w:iCs w:val="0"/>
          <w:color w:val="auto"/>
          <w:kern w:val="0"/>
          <w:sz w:val="32"/>
          <w:szCs w:val="32"/>
          <w:highlight w:val="none"/>
          <w:u w:val="none"/>
          <w:lang w:val="en-US" w:eastAsia="zh-CN" w:bidi="ar"/>
        </w:rPr>
        <w:t>局方在检查中发现有下列情形之一的，可以撤销已作出的颁发体检合格证或者认可证书的行政许可决定：</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（1）工作人员滥用职权、玩忽职守颁发的体检合格证；</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（2）超越法定职权颁发的体检合格证；</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（3）违反法定程序颁发的体检合格证；</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（4）为不具备申请资格或者不符合本规则相应医学标准的申请人颁发的体检合格证；</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（5）依法可以撤销的其他情形。</w:t>
      </w:r>
    </w:p>
    <w:p w14:paraId="33DA197C">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kern w:val="0"/>
          <w:sz w:val="32"/>
          <w:szCs w:val="32"/>
          <w:highlight w:val="none"/>
          <w:u w:val="none"/>
          <w:lang w:val="en-US" w:eastAsia="zh-CN" w:bidi="ar"/>
        </w:rPr>
      </w:pP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（b）</w:t>
      </w:r>
      <w:r>
        <w:rPr>
          <w:rFonts w:hint="eastAsia" w:ascii="仿宋_GB2312" w:hAnsi="仿宋_GB2312" w:eastAsia="仿宋_GB2312" w:cs="仿宋_GB2312"/>
          <w:i w:val="0"/>
          <w:iCs w:val="0"/>
          <w:color w:val="auto"/>
          <w:kern w:val="0"/>
          <w:sz w:val="32"/>
          <w:szCs w:val="32"/>
          <w:highlight w:val="none"/>
          <w:u w:val="none"/>
          <w:lang w:val="en-US" w:eastAsia="zh-CN" w:bidi="ar"/>
        </w:rPr>
        <w:t>体检合格证申请人以欺骗、贿赂等不正当手段取得的体检合格证或者认可证书的，局方应当予以撤销。</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 xml:space="preserve">    </w:t>
      </w:r>
      <w:bookmarkStart w:id="25" w:name="_Toc26396"/>
      <w:r>
        <w:rPr>
          <w:rStyle w:val="14"/>
          <w:rFonts w:hint="eastAsia" w:ascii="黑体" w:hAnsi="黑体" w:eastAsia="黑体" w:cs="黑体"/>
          <w:b w:val="0"/>
          <w:bCs/>
          <w:color w:val="auto"/>
          <w:highlight w:val="none"/>
          <w:lang w:val="en-US" w:eastAsia="zh-CN"/>
        </w:rPr>
        <w:t>第67.51条 体检合格证的注销</w:t>
      </w:r>
      <w:r>
        <w:rPr>
          <w:rStyle w:val="14"/>
          <w:rFonts w:hint="eastAsia" w:ascii="黑体" w:hAnsi="黑体" w:eastAsia="黑体" w:cs="黑体"/>
          <w:b/>
          <w:color w:val="auto"/>
          <w:highlight w:val="none"/>
          <w:lang w:val="en-US" w:eastAsia="zh-CN"/>
        </w:rPr>
        <w:br w:type="textWrapping"/>
      </w:r>
      <w:bookmarkEnd w:id="25"/>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有下列情形之一的，颁证机关应当收回体检合格证，办理注销手续，并以书面形式告知体检合格证持有人（已经死亡的除外）注销理由及依据：</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（a）体检合格证有效期届满未延续的；</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（b）体检合格证持有人死亡或者丧失行为能力的；</w:t>
      </w:r>
    </w:p>
    <w:p w14:paraId="6F38E252">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color w:val="auto"/>
          <w:kern w:val="0"/>
          <w:sz w:val="32"/>
          <w:szCs w:val="32"/>
          <w:highlight w:val="none"/>
          <w:u w:val="none"/>
          <w:lang w:val="en-US" w:eastAsia="zh-CN" w:bidi="ar"/>
        </w:rPr>
        <w:t>（c）体检合格证被依法撤销</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或者吊销</w:t>
      </w:r>
      <w:r>
        <w:rPr>
          <w:rFonts w:hint="eastAsia" w:ascii="仿宋_GB2312" w:hAnsi="仿宋_GB2312" w:eastAsia="仿宋_GB2312" w:cs="仿宋_GB2312"/>
          <w:i w:val="0"/>
          <w:iCs w:val="0"/>
          <w:color w:val="auto"/>
          <w:kern w:val="0"/>
          <w:sz w:val="32"/>
          <w:szCs w:val="32"/>
          <w:highlight w:val="none"/>
          <w:u w:val="none"/>
          <w:lang w:val="en-US" w:eastAsia="zh-CN" w:bidi="ar"/>
        </w:rPr>
        <w:t>的；</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（d）法律法规规定的应当注销行政许可的其他情形。</w:t>
      </w:r>
    </w:p>
    <w:p w14:paraId="5AF60757">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bookmarkStart w:id="26" w:name="_Toc30875"/>
      <w:r>
        <w:rPr>
          <w:rStyle w:val="14"/>
          <w:rFonts w:hint="eastAsia" w:ascii="黑体" w:hAnsi="黑体" w:eastAsia="黑体" w:cs="黑体"/>
          <w:b w:val="0"/>
          <w:bCs/>
          <w:color w:val="auto"/>
          <w:highlight w:val="none"/>
          <w:lang w:val="en-US" w:eastAsia="zh-CN"/>
        </w:rPr>
        <w:t>第67.53条 禁止行为</w:t>
      </w:r>
      <w:r>
        <w:rPr>
          <w:rStyle w:val="14"/>
          <w:rFonts w:hint="eastAsia" w:ascii="黑体" w:hAnsi="黑体" w:eastAsia="黑体" w:cs="黑体"/>
          <w:b/>
          <w:color w:val="auto"/>
          <w:highlight w:val="none"/>
          <w:lang w:val="en-US" w:eastAsia="zh-CN"/>
        </w:rPr>
        <w:br w:type="textWrapping"/>
      </w:r>
      <w:bookmarkEnd w:id="26"/>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（a）体检合格证申请人不得隐瞒或者伪造病史、病情，或者提供虚假申请材料，或者提供非申请人本人生物标本，或者冒名顶替。</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（b）任何人员不得有下列行为：</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（1）协助申请人隐瞒或者伪造病史、病情，或者提供虚假申请材料，或者提供非申请人本人生物标本，或者在体检鉴定时冒名顶替的；</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（2）涂改、伪造、变造或者倒卖、出售体检文书、医学资料或者体检合格证的；</w:t>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br w:type="textWrapping"/>
      </w:r>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（3）未取得体检合格证从事民用航空活动的。</w:t>
      </w:r>
    </w:p>
    <w:p w14:paraId="2395E945">
      <w:pPr>
        <w:pStyle w:val="2"/>
        <w:bidi w:val="0"/>
        <w:jc w:val="center"/>
        <w:rPr>
          <w:rFonts w:hint="eastAsia" w:ascii="黑体" w:hAnsi="黑体" w:eastAsia="黑体" w:cs="黑体"/>
          <w:b w:val="0"/>
          <w:bCs/>
          <w:color w:val="auto"/>
          <w:highlight w:val="none"/>
          <w:lang w:val="en-US" w:eastAsia="zh-CN"/>
        </w:rPr>
      </w:pPr>
      <w:bookmarkStart w:id="27" w:name="_Toc14665"/>
      <w:r>
        <w:rPr>
          <w:rFonts w:hint="eastAsia" w:ascii="黑体" w:hAnsi="黑体" w:eastAsia="黑体" w:cs="黑体"/>
          <w:b w:val="0"/>
          <w:bCs/>
          <w:color w:val="auto"/>
          <w:highlight w:val="none"/>
          <w:lang w:val="en-US" w:eastAsia="zh-CN"/>
        </w:rPr>
        <w:t xml:space="preserve">D章 </w:t>
      </w:r>
      <w:bookmarkEnd w:id="27"/>
      <w:bookmarkStart w:id="28" w:name="_Toc17790"/>
      <w:r>
        <w:rPr>
          <w:rFonts w:hint="eastAsia" w:ascii="黑体" w:hAnsi="黑体" w:eastAsia="黑体" w:cs="黑体"/>
          <w:b w:val="0"/>
          <w:bCs/>
          <w:color w:val="auto"/>
          <w:highlight w:val="none"/>
          <w:lang w:val="en-US" w:eastAsia="zh-CN"/>
        </w:rPr>
        <w:t>法律责任</w:t>
      </w:r>
      <w:bookmarkEnd w:id="28"/>
    </w:p>
    <w:p w14:paraId="0BED9B2F">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bookmarkStart w:id="29" w:name="_Toc4369"/>
      <w:r>
        <w:rPr>
          <w:rStyle w:val="14"/>
          <w:rFonts w:hint="eastAsia" w:ascii="黑体" w:hAnsi="黑体" w:eastAsia="黑体" w:cs="黑体"/>
          <w:b w:val="0"/>
          <w:bCs/>
          <w:color w:val="auto"/>
          <w:highlight w:val="none"/>
          <w:lang w:val="en-US" w:eastAsia="zh-CN"/>
        </w:rPr>
        <w:t>第67.55条</w:t>
      </w:r>
      <w:r>
        <w:rPr>
          <w:rStyle w:val="14"/>
          <w:rFonts w:hint="eastAsia" w:ascii="黑体" w:hAnsi="黑体" w:eastAsia="黑体" w:cs="黑体"/>
          <w:b w:val="0"/>
          <w:bCs/>
          <w:color w:val="auto"/>
          <w:highlight w:val="none"/>
          <w:lang w:val="en-US" w:eastAsia="zh"/>
        </w:rPr>
        <w:t xml:space="preserve"> </w:t>
      </w:r>
      <w:r>
        <w:rPr>
          <w:rStyle w:val="14"/>
          <w:rFonts w:hint="eastAsia" w:ascii="黑体" w:hAnsi="黑体" w:eastAsia="黑体" w:cs="黑体"/>
          <w:b w:val="0"/>
          <w:bCs/>
          <w:color w:val="auto"/>
          <w:highlight w:val="none"/>
          <w:lang w:val="en-US" w:eastAsia="zh-CN"/>
        </w:rPr>
        <w:t>体检合格证申请人违反本规则规定的行为</w:t>
      </w:r>
      <w:r>
        <w:rPr>
          <w:rStyle w:val="14"/>
          <w:rFonts w:hint="eastAsia" w:ascii="黑体" w:hAnsi="黑体" w:eastAsia="黑体" w:cs="黑体"/>
          <w:b/>
          <w:color w:val="auto"/>
          <w:highlight w:val="none"/>
          <w:lang w:val="en-US" w:eastAsia="zh-CN"/>
        </w:rPr>
        <w:br w:type="textWrapping"/>
      </w:r>
      <w:bookmarkEnd w:id="29"/>
      <w:r>
        <w:rPr>
          <w:rFonts w:hint="eastAsia" w:ascii="仿宋_GB2312" w:hAnsi="仿宋_GB2312" w:eastAsia="仿宋_GB2312" w:cs="仿宋_GB2312"/>
          <w:i w:val="0"/>
          <w:iCs w:val="0"/>
          <w:color w:val="auto"/>
          <w:kern w:val="0"/>
          <w:sz w:val="32"/>
          <w:szCs w:val="32"/>
          <w:highlight w:val="none"/>
          <w:u w:val="none"/>
          <w:lang w:val="en-US" w:eastAsia="zh-CN" w:bidi="ar"/>
        </w:rPr>
        <w:t>　　体检合格证申请人隐瞒或者伪造病史、病情，或者提供虚假申请材料，或者提供非申请人本人生物标本，或者冒名顶替的，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体检机构不予办理体检鉴定</w:t>
      </w:r>
      <w:r>
        <w:rPr>
          <w:rFonts w:hint="eastAsia" w:ascii="仿宋_GB2312" w:hAnsi="仿宋_GB2312" w:eastAsia="仿宋_GB2312" w:cs="仿宋_GB2312"/>
          <w:b/>
          <w:bCs/>
          <w:i w:val="0"/>
          <w:iCs w:val="0"/>
          <w:color w:val="auto"/>
          <w:kern w:val="0"/>
          <w:sz w:val="32"/>
          <w:szCs w:val="32"/>
          <w:highlight w:val="none"/>
          <w:u w:val="none"/>
          <w:lang w:val="en-US" w:eastAsia="zh-CN" w:bidi="ar"/>
        </w:rPr>
        <w:t>，</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民航</w:t>
      </w:r>
      <w:r>
        <w:rPr>
          <w:rFonts w:hint="eastAsia" w:ascii="仿宋_GB2312" w:hAnsi="仿宋_GB2312" w:eastAsia="仿宋_GB2312" w:cs="仿宋_GB2312"/>
          <w:i w:val="0"/>
          <w:iCs w:val="0"/>
          <w:color w:val="auto"/>
          <w:kern w:val="0"/>
          <w:sz w:val="32"/>
          <w:szCs w:val="32"/>
          <w:highlight w:val="none"/>
          <w:u w:val="none"/>
          <w:lang w:val="en-US" w:eastAsia="zh-CN" w:bidi="ar"/>
        </w:rPr>
        <w:t>地区管理局</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不予受理申请或者不予颁发体检合格证，并给予警告</w:t>
      </w:r>
      <w:r>
        <w:rPr>
          <w:rFonts w:hint="eastAsia" w:ascii="仿宋_GB2312" w:hAnsi="仿宋_GB2312" w:eastAsia="仿宋_GB2312" w:cs="仿宋_GB2312"/>
          <w:i w:val="0"/>
          <w:iCs w:val="0"/>
          <w:color w:val="auto"/>
          <w:kern w:val="0"/>
          <w:sz w:val="32"/>
          <w:szCs w:val="32"/>
          <w:highlight w:val="none"/>
          <w:u w:val="none"/>
          <w:lang w:val="en-US" w:eastAsia="zh-CN" w:bidi="ar"/>
        </w:rPr>
        <w:t>；</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申请人在1年内不得再次申请。</w:t>
      </w:r>
    </w:p>
    <w:p w14:paraId="3708C86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b w:val="0"/>
          <w:bCs w:val="0"/>
          <w:i w:val="0"/>
          <w:iCs w:val="0"/>
          <w:color w:val="auto"/>
          <w:kern w:val="0"/>
          <w:sz w:val="32"/>
          <w:szCs w:val="32"/>
          <w:highlight w:val="none"/>
          <w:u w:val="none"/>
          <w:lang w:val="en-US" w:eastAsia="zh-CN" w:bidi="ar"/>
        </w:rPr>
      </w:pPr>
      <w:bookmarkStart w:id="30" w:name="_Toc24400"/>
      <w:r>
        <w:rPr>
          <w:rStyle w:val="14"/>
          <w:rFonts w:hint="eastAsia" w:ascii="黑体" w:hAnsi="黑体" w:eastAsia="黑体" w:cs="黑体"/>
          <w:b w:val="0"/>
          <w:bCs/>
          <w:color w:val="auto"/>
          <w:highlight w:val="none"/>
          <w:lang w:val="en-US" w:eastAsia="zh-CN"/>
        </w:rPr>
        <w:t>第67.57条 体检合格证持有人违反本规则的行为</w:t>
      </w:r>
      <w:r>
        <w:rPr>
          <w:rStyle w:val="14"/>
          <w:rFonts w:hint="eastAsia" w:ascii="黑体" w:hAnsi="黑体" w:eastAsia="黑体" w:cs="黑体"/>
          <w:b/>
          <w:color w:val="auto"/>
          <w:highlight w:val="none"/>
          <w:lang w:val="en-US" w:eastAsia="zh-CN"/>
        </w:rPr>
        <w:br w:type="textWrapping"/>
      </w:r>
      <w:bookmarkEnd w:id="30"/>
      <w:r>
        <w:rPr>
          <w:rFonts w:hint="eastAsia" w:ascii="仿宋_GB2312" w:hAnsi="仿宋_GB2312" w:eastAsia="仿宋_GB2312" w:cs="仿宋_GB2312"/>
          <w:i w:val="0"/>
          <w:iCs w:val="0"/>
          <w:color w:val="auto"/>
          <w:kern w:val="0"/>
          <w:sz w:val="32"/>
          <w:szCs w:val="32"/>
          <w:highlight w:val="none"/>
          <w:u w:val="none"/>
          <w:lang w:val="en-US" w:eastAsia="zh-CN" w:bidi="ar"/>
        </w:rPr>
        <w:t xml:space="preserve">    </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（a）体检合格证持有人以欺骗、贿赂等不正当手段取得体检合格证或者认可证书的，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由民航地区管理局</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给予警告或</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者</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处500元以上1000元以下的罚款</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申请人在</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3</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年内不得再次提出申请</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w:t>
      </w:r>
    </w:p>
    <w:p w14:paraId="7F9CB42D">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b w:val="0"/>
          <w:bCs w:val="0"/>
          <w:i w:val="0"/>
          <w:iCs w:val="0"/>
          <w:color w:val="auto"/>
          <w:kern w:val="0"/>
          <w:sz w:val="32"/>
          <w:szCs w:val="32"/>
          <w:highlight w:val="none"/>
          <w:u w:val="none"/>
          <w:lang w:val="en-US" w:eastAsia="zh" w:bidi="ar"/>
        </w:rPr>
      </w:pPr>
      <w:r>
        <w:rPr>
          <w:rFonts w:hint="eastAsia" w:ascii="仿宋_GB2312" w:hAnsi="仿宋_GB2312" w:eastAsia="仿宋_GB2312" w:cs="仿宋_GB2312"/>
          <w:b w:val="0"/>
          <w:bCs w:val="0"/>
          <w:i w:val="0"/>
          <w:iCs w:val="0"/>
          <w:color w:val="auto"/>
          <w:kern w:val="0"/>
          <w:sz w:val="32"/>
          <w:szCs w:val="32"/>
          <w:highlight w:val="none"/>
          <w:u w:val="none"/>
          <w:lang w:val="en-US" w:eastAsia="zh" w:bidi="ar"/>
        </w:rPr>
        <w:t>（b）体检合格证持有人从事</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运行</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活动时未携带体检合格证，</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由民航地区管理局</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给予警告，暂扣</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体检合格证</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一个月至六个月；情节严重的，吊销</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体检合格证</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w:t>
      </w:r>
    </w:p>
    <w:p w14:paraId="52CE99D7">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b w:val="0"/>
          <w:bCs w:val="0"/>
          <w:i w:val="0"/>
          <w:iCs w:val="0"/>
          <w:color w:val="auto"/>
          <w:kern w:val="0"/>
          <w:sz w:val="32"/>
          <w:szCs w:val="32"/>
          <w:highlight w:val="none"/>
          <w:u w:val="none"/>
          <w:lang w:val="en-US" w:eastAsia="zh-CN" w:bidi="ar"/>
        </w:rPr>
      </w:pPr>
      <w:r>
        <w:rPr>
          <w:rFonts w:hint="eastAsia" w:ascii="仿宋_GB2312" w:hAnsi="仿宋_GB2312" w:eastAsia="仿宋_GB2312" w:cs="仿宋_GB2312"/>
          <w:b w:val="0"/>
          <w:bCs w:val="0"/>
          <w:i w:val="0"/>
          <w:iCs w:val="0"/>
          <w:color w:val="auto"/>
          <w:kern w:val="0"/>
          <w:sz w:val="32"/>
          <w:szCs w:val="32"/>
          <w:highlight w:val="none"/>
          <w:u w:val="none"/>
          <w:lang w:val="en-US" w:eastAsia="zh" w:bidi="ar"/>
        </w:rPr>
        <w:t>（c）体检合格证持有人发现身心状况发生变化，可能不符合所持体检合格证的相应医学标准时，</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未及时报告的</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由民航地区管理局</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给予警告或</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者</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处500元以上1000元以下的罚款</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；未及时停止履行职责的，由民航地区管理局责令</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当事人停止履行职责</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，可以暂停受理其体检合格证申请；</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情节严重的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，吊销体检合格证。</w:t>
      </w:r>
    </w:p>
    <w:p w14:paraId="1732E59E">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Style w:val="14"/>
          <w:rFonts w:hint="eastAsia" w:ascii="黑体" w:hAnsi="黑体" w:eastAsia="黑体" w:cs="黑体"/>
          <w:b w:val="0"/>
          <w:bCs/>
          <w:color w:val="auto"/>
          <w:highlight w:val="none"/>
          <w:lang w:val="en-US" w:eastAsia="zh-CN"/>
        </w:rPr>
      </w:pPr>
      <w:bookmarkStart w:id="31" w:name="_Toc27487"/>
      <w:r>
        <w:rPr>
          <w:rStyle w:val="14"/>
          <w:rFonts w:hint="eastAsia" w:ascii="黑体" w:hAnsi="黑体" w:eastAsia="黑体" w:cs="黑体"/>
          <w:b w:val="0"/>
          <w:bCs/>
          <w:color w:val="auto"/>
          <w:highlight w:val="none"/>
          <w:lang w:val="en-US" w:eastAsia="zh-CN"/>
        </w:rPr>
        <w:t>第67.59条 其他违反本规则规定的行为</w:t>
      </w:r>
    </w:p>
    <w:bookmarkEnd w:id="31"/>
    <w:p w14:paraId="0E4A0EE4">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default" w:ascii="仿宋_GB2312" w:hAnsi="仿宋_GB2312" w:eastAsia="仿宋_GB2312" w:cs="仿宋_GB2312"/>
          <w:i w:val="0"/>
          <w:iCs w:val="0"/>
          <w:color w:val="auto"/>
          <w:kern w:val="0"/>
          <w:sz w:val="32"/>
          <w:szCs w:val="32"/>
          <w:highlight w:val="none"/>
          <w:u w:val="none"/>
          <w:lang w:val="en-US" w:eastAsia="zh-CN" w:bidi="ar"/>
        </w:rPr>
      </w:pP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（a）</w:t>
      </w:r>
      <w:r>
        <w:rPr>
          <w:rFonts w:hint="eastAsia" w:ascii="仿宋_GB2312" w:hAnsi="仿宋_GB2312" w:eastAsia="仿宋_GB2312" w:cs="仿宋_GB2312"/>
          <w:i w:val="0"/>
          <w:iCs w:val="0"/>
          <w:color w:val="auto"/>
          <w:kern w:val="0"/>
          <w:sz w:val="32"/>
          <w:szCs w:val="32"/>
          <w:highlight w:val="none"/>
          <w:u w:val="none"/>
          <w:lang w:val="en-US" w:eastAsia="zh-CN" w:bidi="ar"/>
        </w:rPr>
        <w:t>任何人员违反本规则规定，有下列行为之一的，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由</w:t>
      </w:r>
      <w:r>
        <w:rPr>
          <w:rFonts w:hint="eastAsia" w:ascii="仿宋_GB2312" w:hAnsi="仿宋_GB2312" w:eastAsia="仿宋_GB2312" w:cs="仿宋_GB2312"/>
          <w:i w:val="0"/>
          <w:iCs w:val="0"/>
          <w:color w:val="auto"/>
          <w:kern w:val="0"/>
          <w:sz w:val="32"/>
          <w:szCs w:val="32"/>
          <w:highlight w:val="none"/>
          <w:u w:val="none"/>
          <w:lang w:val="en-US" w:eastAsia="zh-CN" w:bidi="ar"/>
        </w:rPr>
        <w:t>中国民航局或者民航地区管理局</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处1</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万元以上</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5</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万元以下的罚款</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情节严重的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5</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万元以上</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20</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万元以下的罚款</w:t>
      </w:r>
      <w:r>
        <w:rPr>
          <w:rFonts w:hint="eastAsia" w:ascii="仿宋_GB2312" w:hAnsi="仿宋_GB2312" w:eastAsia="仿宋_GB2312" w:cs="仿宋_GB2312"/>
          <w:i w:val="0"/>
          <w:iCs w:val="0"/>
          <w:color w:val="auto"/>
          <w:kern w:val="0"/>
          <w:sz w:val="32"/>
          <w:szCs w:val="32"/>
          <w:highlight w:val="none"/>
          <w:u w:val="none"/>
          <w:lang w:val="en-US" w:eastAsia="zh-CN" w:bidi="ar"/>
        </w:rPr>
        <w:t>：</w:t>
      </w:r>
    </w:p>
    <w:p w14:paraId="6283713B">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kern w:val="0"/>
          <w:sz w:val="32"/>
          <w:szCs w:val="32"/>
          <w:highlight w:val="none"/>
          <w:u w:val="none"/>
          <w:lang w:val="en-US" w:eastAsia="zh-CN" w:bidi="ar"/>
        </w:rPr>
      </w:pPr>
      <w:r>
        <w:rPr>
          <w:rFonts w:hint="eastAsia" w:ascii="仿宋_GB2312" w:hAnsi="仿宋_GB2312" w:eastAsia="仿宋_GB2312" w:cs="仿宋_GB2312"/>
          <w:i w:val="0"/>
          <w:iCs w:val="0"/>
          <w:color w:val="auto"/>
          <w:kern w:val="0"/>
          <w:sz w:val="32"/>
          <w:szCs w:val="32"/>
          <w:highlight w:val="none"/>
          <w:u w:val="none"/>
          <w:lang w:val="en-US" w:eastAsia="zh-CN" w:bidi="ar"/>
        </w:rPr>
        <w:t>（1）协助申请人提供虚假申请材料，或者提供非申请人本人生物标本，或者在体检鉴定时冒名顶替的；</w:t>
      </w:r>
    </w:p>
    <w:p w14:paraId="5E10DC8F">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strike w:val="0"/>
          <w:dstrike w:val="0"/>
          <w:color w:val="auto"/>
          <w:kern w:val="0"/>
          <w:sz w:val="32"/>
          <w:szCs w:val="32"/>
          <w:highlight w:val="none"/>
          <w:u w:val="none"/>
          <w:lang w:val="en-US" w:eastAsia="zh" w:bidi="ar"/>
        </w:rPr>
      </w:pPr>
      <w:r>
        <w:rPr>
          <w:rFonts w:hint="eastAsia" w:ascii="仿宋_GB2312" w:hAnsi="仿宋_GB2312" w:eastAsia="仿宋_GB2312" w:cs="仿宋_GB2312"/>
          <w:i w:val="0"/>
          <w:iCs w:val="0"/>
          <w:color w:val="auto"/>
          <w:kern w:val="0"/>
          <w:sz w:val="32"/>
          <w:szCs w:val="32"/>
          <w:highlight w:val="none"/>
          <w:u w:val="none"/>
          <w:lang w:val="en-US" w:eastAsia="zh-CN" w:bidi="ar"/>
        </w:rPr>
        <w:t>（2）涂改、伪造、变造或者倒卖、出售体检文书、医学资料或者体检合格证的</w:t>
      </w:r>
      <w:r>
        <w:rPr>
          <w:rFonts w:hint="eastAsia" w:ascii="仿宋_GB2312" w:hAnsi="仿宋_GB2312" w:eastAsia="仿宋_GB2312" w:cs="仿宋_GB2312"/>
          <w:i w:val="0"/>
          <w:iCs w:val="0"/>
          <w:strike w:val="0"/>
          <w:dstrike w:val="0"/>
          <w:color w:val="auto"/>
          <w:kern w:val="0"/>
          <w:sz w:val="32"/>
          <w:szCs w:val="32"/>
          <w:highlight w:val="none"/>
          <w:u w:val="none"/>
          <w:lang w:val="en-US" w:eastAsia="zh" w:bidi="ar"/>
        </w:rPr>
        <w:t>。</w:t>
      </w:r>
    </w:p>
    <w:p w14:paraId="6A5B2654">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b w:val="0"/>
          <w:bCs w:val="0"/>
          <w:i w:val="0"/>
          <w:iCs w:val="0"/>
          <w:color w:val="auto"/>
          <w:kern w:val="0"/>
          <w:sz w:val="32"/>
          <w:szCs w:val="32"/>
          <w:highlight w:val="none"/>
          <w:u w:val="none"/>
          <w:lang w:val="en-US" w:eastAsia="zh" w:bidi="ar"/>
        </w:rPr>
      </w:pP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（b）任何</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人</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员</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违反本规则规定</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有下列行为之一的，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由</w:t>
      </w:r>
      <w:r>
        <w:rPr>
          <w:rFonts w:hint="eastAsia" w:ascii="仿宋_GB2312" w:hAnsi="仿宋_GB2312" w:eastAsia="仿宋_GB2312" w:cs="仿宋_GB2312"/>
          <w:i w:val="0"/>
          <w:iCs w:val="0"/>
          <w:color w:val="auto"/>
          <w:kern w:val="0"/>
          <w:sz w:val="32"/>
          <w:szCs w:val="32"/>
          <w:highlight w:val="none"/>
          <w:u w:val="none"/>
          <w:lang w:val="en-US" w:eastAsia="zh-CN" w:bidi="ar"/>
        </w:rPr>
        <w:t>中国民航局或者</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民航地区管理局</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责令当事人停止履行职责，处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警告或1</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万元以上</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5</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万元以下的罚款</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情节严重的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5</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万元以上</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20</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万元以下的罚款：</w:t>
      </w:r>
    </w:p>
    <w:p w14:paraId="53481E55">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b w:val="0"/>
          <w:bCs w:val="0"/>
          <w:i w:val="0"/>
          <w:iCs w:val="0"/>
          <w:color w:val="auto"/>
          <w:kern w:val="0"/>
          <w:sz w:val="32"/>
          <w:szCs w:val="32"/>
          <w:highlight w:val="none"/>
          <w:u w:val="none"/>
          <w:lang w:val="en-US" w:eastAsia="zh" w:bidi="ar"/>
        </w:rPr>
      </w:pPr>
      <w:r>
        <w:rPr>
          <w:rFonts w:hint="eastAsia" w:ascii="仿宋_GB2312" w:hAnsi="仿宋_GB2312" w:eastAsia="仿宋_GB2312" w:cs="仿宋_GB2312"/>
          <w:b w:val="0"/>
          <w:bCs w:val="0"/>
          <w:i w:val="0"/>
          <w:iCs w:val="0"/>
          <w:color w:val="auto"/>
          <w:kern w:val="0"/>
          <w:sz w:val="32"/>
          <w:szCs w:val="32"/>
          <w:highlight w:val="none"/>
          <w:u w:val="none"/>
          <w:lang w:val="en-US" w:eastAsia="zh" w:bidi="ar"/>
        </w:rPr>
        <w:t>（1）未取得</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体检合格证</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或者未持有有效体检合格证从事相应民用航空活动的；</w:t>
      </w:r>
    </w:p>
    <w:p w14:paraId="16909BE4">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b w:val="0"/>
          <w:bCs w:val="0"/>
          <w:i w:val="0"/>
          <w:iCs w:val="0"/>
          <w:color w:val="auto"/>
          <w:kern w:val="0"/>
          <w:sz w:val="32"/>
          <w:szCs w:val="32"/>
          <w:highlight w:val="none"/>
          <w:u w:val="none"/>
          <w:lang w:val="en-US" w:eastAsia="zh-CN" w:bidi="ar"/>
        </w:rPr>
      </w:pPr>
      <w:r>
        <w:rPr>
          <w:rFonts w:hint="eastAsia" w:ascii="仿宋_GB2312" w:hAnsi="仿宋_GB2312" w:eastAsia="仿宋_GB2312" w:cs="仿宋_GB2312"/>
          <w:b w:val="0"/>
          <w:bCs w:val="0"/>
          <w:i w:val="0"/>
          <w:iCs w:val="0"/>
          <w:color w:val="auto"/>
          <w:kern w:val="0"/>
          <w:sz w:val="32"/>
          <w:szCs w:val="32"/>
          <w:highlight w:val="none"/>
          <w:u w:val="none"/>
          <w:lang w:val="en-US" w:eastAsia="zh" w:bidi="ar"/>
        </w:rPr>
        <w:t>（2）使用的体检合格证等级与所履行职责不相符的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w:t>
      </w:r>
    </w:p>
    <w:p w14:paraId="4A192574">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b w:val="0"/>
          <w:bCs w:val="0"/>
          <w:i w:val="0"/>
          <w:iCs w:val="0"/>
          <w:color w:val="auto"/>
          <w:kern w:val="0"/>
          <w:sz w:val="32"/>
          <w:szCs w:val="32"/>
          <w:highlight w:val="none"/>
          <w:u w:val="none"/>
          <w:lang w:val="en-US" w:eastAsia="zh-CN" w:bidi="ar"/>
        </w:rPr>
      </w:pP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（3）超出体检合格证载明限制条件从事民用航空活动的。</w:t>
      </w:r>
    </w:p>
    <w:p w14:paraId="247EF0D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b w:val="0"/>
          <w:bCs w:val="0"/>
          <w:i w:val="0"/>
          <w:iCs w:val="0"/>
          <w:color w:val="auto"/>
          <w:kern w:val="0"/>
          <w:sz w:val="32"/>
          <w:szCs w:val="32"/>
          <w:highlight w:val="none"/>
          <w:u w:val="none"/>
          <w:lang w:val="en-US" w:eastAsia="zh-CN" w:bidi="ar"/>
        </w:rPr>
      </w:pP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（c）</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体检合格证持有人有</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本条（b）款规定</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情形的，对其所属单位处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10</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万元以上</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50</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万元以下的罚款</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情节严重的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50</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万元以上</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200万</w:t>
      </w:r>
      <w:r>
        <w:rPr>
          <w:rFonts w:hint="eastAsia" w:ascii="仿宋_GB2312" w:hAnsi="仿宋_GB2312" w:eastAsia="仿宋_GB2312" w:cs="仿宋_GB2312"/>
          <w:b w:val="0"/>
          <w:bCs w:val="0"/>
          <w:i w:val="0"/>
          <w:iCs w:val="0"/>
          <w:color w:val="auto"/>
          <w:kern w:val="0"/>
          <w:sz w:val="32"/>
          <w:szCs w:val="32"/>
          <w:highlight w:val="none"/>
          <w:u w:val="none"/>
          <w:lang w:val="en-US" w:eastAsia="zh" w:bidi="ar"/>
        </w:rPr>
        <w:t>元以下的罚款</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w:t>
      </w:r>
      <w:r>
        <w:rPr>
          <w:rFonts w:hint="eastAsia" w:ascii="仿宋_GB2312" w:hAnsi="仿宋_GB2312" w:eastAsia="仿宋_GB2312" w:cs="仿宋_GB2312"/>
          <w:color w:val="auto"/>
          <w:kern w:val="0"/>
          <w:sz w:val="32"/>
          <w:szCs w:val="32"/>
          <w:highlight w:val="none"/>
          <w:lang w:bidi="ar"/>
        </w:rPr>
        <w:t>情节特别严重的，可以吊销公共航空运输企业或者通用航空企业的相关许可证件。</w:t>
      </w:r>
    </w:p>
    <w:p w14:paraId="7AF84DFE">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d）体检医师、体检机构违反本规则第67.11条，未按要求开展体检鉴定工作的，由中国民航局或者民航地区管理局责令暂停履行职责；对体检医师及体检机构给予警告；情节严重的，责令体检医师停止履行职责直至终止体检医师委任，责令体检机构限期整改直至终止体检机构委任。</w:t>
      </w:r>
    </w:p>
    <w:p w14:paraId="75DABA6D">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bookmarkStart w:id="32" w:name="_Toc1469"/>
      <w:r>
        <w:rPr>
          <w:rStyle w:val="14"/>
          <w:rFonts w:hint="eastAsia" w:ascii="黑体" w:hAnsi="黑体" w:eastAsia="黑体" w:cs="黑体"/>
          <w:b w:val="0"/>
          <w:bCs/>
          <w:color w:val="auto"/>
          <w:highlight w:val="none"/>
          <w:lang w:val="en-US" w:eastAsia="zh-CN"/>
        </w:rPr>
        <w:t>第67.60条</w:t>
      </w:r>
      <w:r>
        <w:rPr>
          <w:rStyle w:val="14"/>
          <w:rFonts w:hint="eastAsia" w:ascii="黑体" w:hAnsi="黑体" w:eastAsia="黑体" w:cs="黑体"/>
          <w:b w:val="0"/>
          <w:bCs/>
          <w:color w:val="auto"/>
          <w:highlight w:val="none"/>
          <w:lang w:val="en-US" w:eastAsia="zh"/>
        </w:rPr>
        <w:t xml:space="preserve"> </w:t>
      </w:r>
      <w:r>
        <w:rPr>
          <w:rStyle w:val="14"/>
          <w:rFonts w:hint="eastAsia" w:ascii="黑体" w:hAnsi="黑体" w:eastAsia="黑体" w:cs="黑体"/>
          <w:b w:val="0"/>
          <w:bCs/>
          <w:color w:val="auto"/>
          <w:highlight w:val="none"/>
          <w:lang w:val="en-US" w:eastAsia="zh-CN"/>
        </w:rPr>
        <w:t>颁证机关工作人员违反本规则规定的行为</w:t>
      </w:r>
      <w:r>
        <w:rPr>
          <w:rStyle w:val="14"/>
          <w:rFonts w:hint="eastAsia" w:ascii="黑体" w:hAnsi="黑体" w:eastAsia="黑体" w:cs="黑体"/>
          <w:b/>
          <w:color w:val="auto"/>
          <w:highlight w:val="none"/>
          <w:lang w:val="en-US" w:eastAsia="zh-CN"/>
        </w:rPr>
        <w:br w:type="textWrapping"/>
      </w:r>
      <w:bookmarkEnd w:id="32"/>
      <w:r>
        <w:rPr>
          <w:rFonts w:hint="eastAsia" w:ascii="仿宋_GB2312" w:hAnsi="仿宋_GB2312" w:eastAsia="仿宋_GB2312" w:cs="仿宋_GB2312"/>
          <w:i w:val="0"/>
          <w:iCs w:val="0"/>
          <w:color w:val="auto"/>
          <w:kern w:val="0"/>
          <w:sz w:val="32"/>
          <w:szCs w:val="32"/>
          <w:highlight w:val="none"/>
          <w:u w:val="none"/>
          <w:lang w:val="en-US" w:eastAsia="zh-CN" w:bidi="ar"/>
        </w:rPr>
        <w:t>　　颁证机关工作人员</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玩忽职守、滥用职权、徇私舞弊的，依法给予处分。</w:t>
      </w:r>
    </w:p>
    <w:p w14:paraId="164D99BD">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Style w:val="14"/>
          <w:rFonts w:hint="eastAsia" w:ascii="黑体" w:hAnsi="黑体" w:eastAsia="黑体" w:cs="黑体"/>
          <w:b/>
          <w:color w:val="auto"/>
          <w:highlight w:val="none"/>
          <w:lang w:val="en-US" w:eastAsia="zh-CN"/>
        </w:rPr>
      </w:pPr>
      <w:bookmarkStart w:id="33" w:name="_Toc21038"/>
      <w:r>
        <w:rPr>
          <w:rStyle w:val="14"/>
          <w:rFonts w:hint="eastAsia" w:ascii="黑体" w:hAnsi="黑体" w:eastAsia="黑体" w:cs="黑体"/>
          <w:b w:val="0"/>
          <w:bCs/>
          <w:color w:val="auto"/>
          <w:highlight w:val="none"/>
          <w:lang w:val="en-US" w:eastAsia="zh-CN"/>
        </w:rPr>
        <w:t>第67.61条 行刑衔接</w:t>
      </w:r>
    </w:p>
    <w:bookmarkEnd w:id="33"/>
    <w:p w14:paraId="1017FD1D">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r>
        <w:rPr>
          <w:rFonts w:hint="eastAsia" w:ascii="仿宋_GB2312" w:hAnsi="仿宋_GB2312" w:eastAsia="仿宋_GB2312" w:cs="仿宋_GB2312"/>
          <w:i w:val="0"/>
          <w:iCs w:val="0"/>
          <w:color w:val="auto"/>
          <w:kern w:val="0"/>
          <w:sz w:val="32"/>
          <w:szCs w:val="32"/>
          <w:highlight w:val="none"/>
          <w:u w:val="none"/>
          <w:lang w:val="en-US" w:eastAsia="zh-CN" w:bidi="ar"/>
        </w:rPr>
        <w:t>违反本规则，构成犯罪的，依法追究刑事责</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任。</w:t>
      </w:r>
    </w:p>
    <w:p w14:paraId="3732FD03">
      <w:pPr>
        <w:pStyle w:val="2"/>
        <w:bidi w:val="0"/>
        <w:jc w:val="center"/>
        <w:rPr>
          <w:rFonts w:hint="eastAsia" w:ascii="黑体" w:hAnsi="黑体" w:eastAsia="黑体" w:cs="黑体"/>
          <w:b w:val="0"/>
          <w:bCs/>
          <w:color w:val="auto"/>
          <w:highlight w:val="none"/>
          <w:lang w:val="en-US" w:eastAsia="zh-CN"/>
        </w:rPr>
      </w:pPr>
      <w:bookmarkStart w:id="34" w:name="_Toc21672"/>
      <w:r>
        <w:rPr>
          <w:rFonts w:hint="eastAsia" w:ascii="黑体" w:hAnsi="黑体" w:eastAsia="黑体" w:cs="黑体"/>
          <w:b w:val="0"/>
          <w:bCs/>
          <w:color w:val="auto"/>
          <w:highlight w:val="none"/>
          <w:lang w:val="en-US" w:eastAsia="zh-CN"/>
        </w:rPr>
        <w:t>E章 附  则</w:t>
      </w:r>
      <w:bookmarkEnd w:id="34"/>
    </w:p>
    <w:p w14:paraId="6765E46C">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top"/>
        <w:rPr>
          <w:rFonts w:hint="eastAsia" w:ascii="仿宋_GB2312" w:hAnsi="仿宋_GB2312" w:eastAsia="仿宋_GB2312" w:cs="仿宋_GB2312"/>
          <w:i w:val="0"/>
          <w:iCs w:val="0"/>
          <w:color w:val="auto"/>
          <w:sz w:val="32"/>
          <w:szCs w:val="32"/>
          <w:highlight w:val="none"/>
          <w:u w:val="none"/>
        </w:rPr>
      </w:pPr>
      <w:bookmarkStart w:id="35" w:name="_Toc7571"/>
      <w:r>
        <w:rPr>
          <w:rStyle w:val="14"/>
          <w:rFonts w:hint="eastAsia" w:ascii="黑体" w:hAnsi="黑体" w:eastAsia="黑体" w:cs="黑体"/>
          <w:b w:val="0"/>
          <w:bCs/>
          <w:color w:val="auto"/>
          <w:highlight w:val="none"/>
          <w:lang w:val="en-US" w:eastAsia="zh-CN"/>
        </w:rPr>
        <w:t>第67.65条 原体检合格证的有效期</w:t>
      </w:r>
      <w:r>
        <w:rPr>
          <w:rStyle w:val="14"/>
          <w:rFonts w:hint="eastAsia" w:ascii="黑体" w:hAnsi="黑体" w:eastAsia="黑体" w:cs="黑体"/>
          <w:b/>
          <w:color w:val="auto"/>
          <w:highlight w:val="none"/>
          <w:lang w:val="en-US" w:eastAsia="zh-CN"/>
        </w:rPr>
        <w:br w:type="textWrapping"/>
      </w:r>
      <w:bookmarkEnd w:id="35"/>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本规则实施前颁发的体检合格证，在其有效期内继续有效。</w:t>
      </w:r>
    </w:p>
    <w:p w14:paraId="471F55E1">
      <w:pPr>
        <w:ind w:firstLine="640" w:firstLineChars="200"/>
        <w:rPr>
          <w:rFonts w:hint="eastAsia" w:ascii="仿宋_GB2312" w:hAnsi="仿宋_GB2312" w:eastAsia="仿宋_GB2312" w:cs="仿宋_GB2312"/>
          <w:i w:val="0"/>
          <w:iCs w:val="0"/>
          <w:color w:val="auto"/>
          <w:kern w:val="0"/>
          <w:sz w:val="32"/>
          <w:szCs w:val="32"/>
          <w:highlight w:val="none"/>
          <w:u w:val="none"/>
          <w:lang w:val="en-US" w:eastAsia="zh-CN" w:bidi="ar"/>
        </w:rPr>
      </w:pPr>
      <w:bookmarkStart w:id="36" w:name="_Toc11076"/>
      <w:r>
        <w:rPr>
          <w:rStyle w:val="14"/>
          <w:rFonts w:hint="eastAsia" w:ascii="黑体" w:hAnsi="黑体" w:eastAsia="黑体" w:cs="黑体"/>
          <w:b w:val="0"/>
          <w:bCs/>
          <w:color w:val="auto"/>
          <w:highlight w:val="none"/>
          <w:lang w:val="en-US" w:eastAsia="zh-CN"/>
        </w:rPr>
        <w:t>第67.67条 施行</w:t>
      </w:r>
      <w:r>
        <w:rPr>
          <w:rStyle w:val="14"/>
          <w:rFonts w:hint="eastAsia" w:ascii="黑体" w:hAnsi="黑体" w:eastAsia="黑体" w:cs="黑体"/>
          <w:b/>
          <w:color w:val="auto"/>
          <w:highlight w:val="none"/>
          <w:lang w:val="en-US" w:eastAsia="zh-CN"/>
        </w:rPr>
        <w:br w:type="textWrapping"/>
      </w:r>
      <w:bookmarkEnd w:id="36"/>
      <w:r>
        <w:rPr>
          <w:rFonts w:hint="eastAsia" w:ascii="仿宋_GB2312" w:hAnsi="仿宋_GB2312" w:eastAsia="仿宋_GB2312" w:cs="仿宋_GB2312"/>
          <w:i w:val="0"/>
          <w:iCs w:val="0"/>
          <w:color w:val="auto"/>
          <w:kern w:val="0"/>
          <w:sz w:val="32"/>
          <w:szCs w:val="32"/>
          <w:highlight w:val="none"/>
          <w:u w:val="none"/>
          <w:lang w:val="en-US" w:eastAsia="zh" w:bidi="ar"/>
        </w:rPr>
        <w:t xml:space="preserve">    </w:t>
      </w:r>
      <w:r>
        <w:rPr>
          <w:rFonts w:hint="eastAsia" w:ascii="仿宋_GB2312" w:hAnsi="仿宋_GB2312" w:eastAsia="仿宋_GB2312" w:cs="仿宋_GB2312"/>
          <w:i w:val="0"/>
          <w:iCs w:val="0"/>
          <w:color w:val="auto"/>
          <w:kern w:val="0"/>
          <w:sz w:val="32"/>
          <w:szCs w:val="32"/>
          <w:highlight w:val="none"/>
          <w:u w:val="none"/>
          <w:lang w:val="en-US" w:eastAsia="zh-CN" w:bidi="ar"/>
        </w:rPr>
        <w:t>本规则自20</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27年XX月XX日</w:t>
      </w:r>
      <w:r>
        <w:rPr>
          <w:rFonts w:hint="eastAsia" w:ascii="仿宋_GB2312" w:hAnsi="仿宋_GB2312" w:eastAsia="仿宋_GB2312" w:cs="仿宋_GB2312"/>
          <w:i w:val="0"/>
          <w:iCs w:val="0"/>
          <w:color w:val="auto"/>
          <w:kern w:val="0"/>
          <w:sz w:val="32"/>
          <w:szCs w:val="32"/>
          <w:highlight w:val="none"/>
          <w:u w:val="none"/>
          <w:lang w:val="en-US" w:eastAsia="zh-CN" w:bidi="ar"/>
        </w:rPr>
        <w:t>起施行。</w:t>
      </w:r>
      <w:r>
        <w:rPr>
          <w:rFonts w:hint="eastAsia" w:ascii="仿宋_GB2312" w:hAnsi="仿宋_GB2312" w:eastAsia="仿宋_GB2312" w:cs="仿宋_GB2312"/>
          <w:color w:val="auto"/>
          <w:kern w:val="0"/>
          <w:sz w:val="32"/>
          <w:szCs w:val="32"/>
          <w:highlight w:val="none"/>
          <w:lang w:bidi="ar"/>
        </w:rPr>
        <w:t>交通运输部于201</w:t>
      </w:r>
      <w:r>
        <w:rPr>
          <w:rFonts w:hint="eastAsia" w:ascii="仿宋_GB2312" w:hAnsi="仿宋_GB2312" w:eastAsia="仿宋_GB2312" w:cs="仿宋_GB2312"/>
          <w:color w:val="auto"/>
          <w:kern w:val="0"/>
          <w:sz w:val="32"/>
          <w:szCs w:val="32"/>
          <w:highlight w:val="none"/>
          <w:lang w:eastAsia="zh-CN" w:bidi="ar"/>
        </w:rPr>
        <w:t>6</w:t>
      </w:r>
      <w:r>
        <w:rPr>
          <w:rFonts w:hint="eastAsia" w:ascii="仿宋_GB2312" w:hAnsi="仿宋_GB2312" w:eastAsia="仿宋_GB2312" w:cs="仿宋_GB2312"/>
          <w:color w:val="auto"/>
          <w:kern w:val="0"/>
          <w:sz w:val="32"/>
          <w:szCs w:val="32"/>
          <w:highlight w:val="none"/>
          <w:lang w:bidi="ar"/>
        </w:rPr>
        <w:t>年</w:t>
      </w:r>
      <w:r>
        <w:rPr>
          <w:rFonts w:hint="eastAsia" w:ascii="仿宋_GB2312" w:hAnsi="仿宋_GB2312" w:eastAsia="仿宋_GB2312" w:cs="仿宋_GB2312"/>
          <w:color w:val="auto"/>
          <w:kern w:val="0"/>
          <w:sz w:val="32"/>
          <w:szCs w:val="32"/>
          <w:highlight w:val="none"/>
          <w:lang w:eastAsia="zh-CN" w:bidi="ar"/>
        </w:rPr>
        <w:t>3</w:t>
      </w:r>
      <w:r>
        <w:rPr>
          <w:rFonts w:hint="eastAsia" w:ascii="仿宋_GB2312" w:hAnsi="仿宋_GB2312" w:eastAsia="仿宋_GB2312" w:cs="仿宋_GB2312"/>
          <w:color w:val="auto"/>
          <w:kern w:val="0"/>
          <w:sz w:val="32"/>
          <w:szCs w:val="32"/>
          <w:highlight w:val="none"/>
          <w:lang w:bidi="ar"/>
        </w:rPr>
        <w:t>月</w:t>
      </w:r>
      <w:r>
        <w:rPr>
          <w:rFonts w:hint="eastAsia" w:ascii="仿宋_GB2312" w:hAnsi="仿宋_GB2312" w:eastAsia="仿宋_GB2312" w:cs="仿宋_GB2312"/>
          <w:color w:val="auto"/>
          <w:kern w:val="0"/>
          <w:sz w:val="32"/>
          <w:szCs w:val="32"/>
          <w:highlight w:val="none"/>
          <w:lang w:eastAsia="zh-CN" w:bidi="ar"/>
        </w:rPr>
        <w:t>1</w:t>
      </w:r>
      <w:r>
        <w:rPr>
          <w:rFonts w:hint="eastAsia" w:ascii="仿宋_GB2312" w:hAnsi="仿宋_GB2312" w:eastAsia="仿宋_GB2312" w:cs="仿宋_GB2312"/>
          <w:color w:val="auto"/>
          <w:kern w:val="0"/>
          <w:sz w:val="32"/>
          <w:szCs w:val="32"/>
          <w:highlight w:val="none"/>
          <w:lang w:val="en-US" w:eastAsia="zh-CN" w:bidi="ar"/>
        </w:rPr>
        <w:t>7</w:t>
      </w:r>
      <w:r>
        <w:rPr>
          <w:rFonts w:hint="eastAsia" w:ascii="仿宋_GB2312" w:hAnsi="仿宋_GB2312" w:eastAsia="仿宋_GB2312" w:cs="仿宋_GB2312"/>
          <w:color w:val="auto"/>
          <w:kern w:val="0"/>
          <w:sz w:val="32"/>
          <w:szCs w:val="32"/>
          <w:highlight w:val="none"/>
          <w:lang w:bidi="ar"/>
        </w:rPr>
        <w:t>日以交通运输部令201</w:t>
      </w:r>
      <w:r>
        <w:rPr>
          <w:rFonts w:hint="eastAsia" w:ascii="仿宋_GB2312" w:hAnsi="仿宋_GB2312" w:eastAsia="仿宋_GB2312" w:cs="仿宋_GB2312"/>
          <w:color w:val="auto"/>
          <w:kern w:val="0"/>
          <w:sz w:val="32"/>
          <w:szCs w:val="32"/>
          <w:highlight w:val="none"/>
          <w:lang w:eastAsia="zh-CN" w:bidi="ar"/>
        </w:rPr>
        <w:t>6</w:t>
      </w:r>
      <w:r>
        <w:rPr>
          <w:rFonts w:hint="eastAsia" w:ascii="仿宋_GB2312" w:hAnsi="仿宋_GB2312" w:eastAsia="仿宋_GB2312" w:cs="仿宋_GB2312"/>
          <w:color w:val="auto"/>
          <w:kern w:val="0"/>
          <w:sz w:val="32"/>
          <w:szCs w:val="32"/>
          <w:highlight w:val="none"/>
          <w:lang w:bidi="ar"/>
        </w:rPr>
        <w:t>年第2</w:t>
      </w:r>
      <w:r>
        <w:rPr>
          <w:rFonts w:hint="eastAsia" w:ascii="仿宋_GB2312" w:hAnsi="仿宋_GB2312" w:eastAsia="仿宋_GB2312" w:cs="仿宋_GB2312"/>
          <w:color w:val="auto"/>
          <w:kern w:val="0"/>
          <w:sz w:val="32"/>
          <w:szCs w:val="32"/>
          <w:highlight w:val="none"/>
          <w:lang w:eastAsia="zh-CN" w:bidi="ar"/>
        </w:rPr>
        <w:t>1</w:t>
      </w:r>
      <w:r>
        <w:rPr>
          <w:rFonts w:hint="eastAsia" w:ascii="仿宋_GB2312" w:hAnsi="仿宋_GB2312" w:eastAsia="仿宋_GB2312" w:cs="仿宋_GB2312"/>
          <w:color w:val="auto"/>
          <w:kern w:val="0"/>
          <w:sz w:val="32"/>
          <w:szCs w:val="32"/>
          <w:highlight w:val="none"/>
          <w:lang w:bidi="ar"/>
        </w:rPr>
        <w:t>号公布，20</w:t>
      </w:r>
      <w:r>
        <w:rPr>
          <w:rFonts w:hint="eastAsia" w:ascii="仿宋_GB2312" w:hAnsi="仿宋_GB2312" w:eastAsia="仿宋_GB2312" w:cs="仿宋_GB2312"/>
          <w:color w:val="auto"/>
          <w:kern w:val="0"/>
          <w:sz w:val="32"/>
          <w:szCs w:val="32"/>
          <w:highlight w:val="none"/>
          <w:lang w:eastAsia="zh-CN" w:bidi="ar"/>
        </w:rPr>
        <w:t>1</w:t>
      </w:r>
      <w:r>
        <w:rPr>
          <w:rFonts w:hint="eastAsia" w:ascii="仿宋_GB2312" w:hAnsi="仿宋_GB2312" w:eastAsia="仿宋_GB2312" w:cs="仿宋_GB2312"/>
          <w:color w:val="auto"/>
          <w:kern w:val="0"/>
          <w:sz w:val="32"/>
          <w:szCs w:val="32"/>
          <w:highlight w:val="none"/>
          <w:lang w:val="en-US" w:eastAsia="zh-CN" w:bidi="ar"/>
        </w:rPr>
        <w:t>7</w:t>
      </w:r>
      <w:r>
        <w:rPr>
          <w:rFonts w:hint="eastAsia" w:ascii="仿宋_GB2312" w:hAnsi="仿宋_GB2312" w:eastAsia="仿宋_GB2312" w:cs="仿宋_GB2312"/>
          <w:color w:val="auto"/>
          <w:kern w:val="0"/>
          <w:sz w:val="32"/>
          <w:szCs w:val="32"/>
          <w:highlight w:val="none"/>
          <w:lang w:bidi="ar"/>
        </w:rPr>
        <w:t>年</w:t>
      </w:r>
      <w:r>
        <w:rPr>
          <w:rFonts w:hint="eastAsia" w:ascii="仿宋_GB2312" w:hAnsi="仿宋_GB2312" w:eastAsia="仿宋_GB2312" w:cs="仿宋_GB2312"/>
          <w:color w:val="auto"/>
          <w:kern w:val="0"/>
          <w:sz w:val="32"/>
          <w:szCs w:val="32"/>
          <w:highlight w:val="none"/>
          <w:lang w:eastAsia="zh-CN" w:bidi="ar"/>
        </w:rPr>
        <w:t>4</w:t>
      </w:r>
      <w:r>
        <w:rPr>
          <w:rFonts w:hint="eastAsia" w:ascii="仿宋_GB2312" w:hAnsi="仿宋_GB2312" w:eastAsia="仿宋_GB2312" w:cs="仿宋_GB2312"/>
          <w:color w:val="auto"/>
          <w:kern w:val="0"/>
          <w:sz w:val="32"/>
          <w:szCs w:val="32"/>
          <w:highlight w:val="none"/>
          <w:lang w:bidi="ar"/>
        </w:rPr>
        <w:t>月</w:t>
      </w:r>
      <w:r>
        <w:rPr>
          <w:rFonts w:hint="eastAsia" w:ascii="仿宋_GB2312" w:hAnsi="仿宋_GB2312" w:eastAsia="仿宋_GB2312" w:cs="仿宋_GB2312"/>
          <w:color w:val="auto"/>
          <w:kern w:val="0"/>
          <w:sz w:val="32"/>
          <w:szCs w:val="32"/>
          <w:highlight w:val="none"/>
          <w:lang w:eastAsia="zh-CN" w:bidi="ar"/>
        </w:rPr>
        <w:t>2</w:t>
      </w:r>
      <w:r>
        <w:rPr>
          <w:rFonts w:hint="eastAsia" w:ascii="仿宋_GB2312" w:hAnsi="仿宋_GB2312" w:eastAsia="仿宋_GB2312" w:cs="仿宋_GB2312"/>
          <w:color w:val="auto"/>
          <w:kern w:val="0"/>
          <w:sz w:val="32"/>
          <w:szCs w:val="32"/>
          <w:highlight w:val="none"/>
          <w:lang w:val="en-US" w:eastAsia="zh-CN" w:bidi="ar"/>
        </w:rPr>
        <w:t>4</w:t>
      </w:r>
      <w:r>
        <w:rPr>
          <w:rFonts w:hint="eastAsia" w:ascii="仿宋_GB2312" w:hAnsi="仿宋_GB2312" w:eastAsia="仿宋_GB2312" w:cs="仿宋_GB2312"/>
          <w:color w:val="auto"/>
          <w:kern w:val="0"/>
          <w:sz w:val="32"/>
          <w:szCs w:val="32"/>
          <w:highlight w:val="none"/>
          <w:lang w:bidi="ar"/>
        </w:rPr>
        <w:t>日以交通运输部令20</w:t>
      </w:r>
      <w:r>
        <w:rPr>
          <w:rFonts w:hint="eastAsia" w:ascii="仿宋_GB2312" w:hAnsi="仿宋_GB2312" w:eastAsia="仿宋_GB2312" w:cs="仿宋_GB2312"/>
          <w:color w:val="auto"/>
          <w:kern w:val="0"/>
          <w:sz w:val="32"/>
          <w:szCs w:val="32"/>
          <w:highlight w:val="none"/>
          <w:lang w:eastAsia="zh-CN" w:bidi="ar"/>
        </w:rPr>
        <w:t>1</w:t>
      </w:r>
      <w:r>
        <w:rPr>
          <w:rFonts w:hint="eastAsia" w:ascii="仿宋_GB2312" w:hAnsi="仿宋_GB2312" w:eastAsia="仿宋_GB2312" w:cs="仿宋_GB2312"/>
          <w:color w:val="auto"/>
          <w:kern w:val="0"/>
          <w:sz w:val="32"/>
          <w:szCs w:val="32"/>
          <w:highlight w:val="none"/>
          <w:lang w:val="en-US" w:eastAsia="zh-CN" w:bidi="ar"/>
        </w:rPr>
        <w:t>7</w:t>
      </w:r>
      <w:r>
        <w:rPr>
          <w:rFonts w:hint="eastAsia" w:ascii="仿宋_GB2312" w:hAnsi="仿宋_GB2312" w:eastAsia="仿宋_GB2312" w:cs="仿宋_GB2312"/>
          <w:color w:val="auto"/>
          <w:kern w:val="0"/>
          <w:sz w:val="32"/>
          <w:szCs w:val="32"/>
          <w:highlight w:val="none"/>
          <w:lang w:bidi="ar"/>
        </w:rPr>
        <w:t>年第</w:t>
      </w:r>
      <w:r>
        <w:rPr>
          <w:rFonts w:hint="eastAsia" w:ascii="仿宋_GB2312" w:hAnsi="仿宋_GB2312" w:eastAsia="仿宋_GB2312" w:cs="仿宋_GB2312"/>
          <w:color w:val="auto"/>
          <w:kern w:val="0"/>
          <w:sz w:val="32"/>
          <w:szCs w:val="32"/>
          <w:highlight w:val="none"/>
          <w:lang w:eastAsia="zh-CN" w:bidi="ar"/>
        </w:rPr>
        <w:t>1</w:t>
      </w:r>
      <w:r>
        <w:rPr>
          <w:rFonts w:hint="eastAsia" w:ascii="仿宋_GB2312" w:hAnsi="仿宋_GB2312" w:eastAsia="仿宋_GB2312" w:cs="仿宋_GB2312"/>
          <w:color w:val="auto"/>
          <w:kern w:val="0"/>
          <w:sz w:val="32"/>
          <w:szCs w:val="32"/>
          <w:highlight w:val="none"/>
          <w:lang w:val="en-US" w:eastAsia="zh-CN" w:bidi="ar"/>
        </w:rPr>
        <w:t>3</w:t>
      </w:r>
      <w:r>
        <w:rPr>
          <w:rFonts w:hint="eastAsia" w:ascii="仿宋_GB2312" w:hAnsi="仿宋_GB2312" w:eastAsia="仿宋_GB2312" w:cs="仿宋_GB2312"/>
          <w:color w:val="auto"/>
          <w:kern w:val="0"/>
          <w:sz w:val="32"/>
          <w:szCs w:val="32"/>
          <w:highlight w:val="none"/>
          <w:lang w:bidi="ar"/>
        </w:rPr>
        <w:t>号、20</w:t>
      </w:r>
      <w:r>
        <w:rPr>
          <w:rFonts w:hint="eastAsia" w:ascii="仿宋_GB2312" w:hAnsi="仿宋_GB2312" w:eastAsia="仿宋_GB2312" w:cs="仿宋_GB2312"/>
          <w:color w:val="auto"/>
          <w:kern w:val="0"/>
          <w:sz w:val="32"/>
          <w:szCs w:val="32"/>
          <w:highlight w:val="none"/>
          <w:lang w:eastAsia="zh-CN" w:bidi="ar"/>
        </w:rPr>
        <w:t>1</w:t>
      </w:r>
      <w:r>
        <w:rPr>
          <w:rFonts w:hint="eastAsia" w:ascii="仿宋_GB2312" w:hAnsi="仿宋_GB2312" w:eastAsia="仿宋_GB2312" w:cs="仿宋_GB2312"/>
          <w:color w:val="auto"/>
          <w:kern w:val="0"/>
          <w:sz w:val="32"/>
          <w:szCs w:val="32"/>
          <w:highlight w:val="none"/>
          <w:lang w:val="en-US" w:eastAsia="zh-CN" w:bidi="ar"/>
        </w:rPr>
        <w:t>8</w:t>
      </w:r>
      <w:r>
        <w:rPr>
          <w:rFonts w:hint="eastAsia" w:ascii="仿宋_GB2312" w:hAnsi="仿宋_GB2312" w:eastAsia="仿宋_GB2312" w:cs="仿宋_GB2312"/>
          <w:color w:val="auto"/>
          <w:kern w:val="0"/>
          <w:sz w:val="32"/>
          <w:szCs w:val="32"/>
          <w:highlight w:val="none"/>
          <w:lang w:bidi="ar"/>
        </w:rPr>
        <w:t>年</w:t>
      </w:r>
      <w:r>
        <w:rPr>
          <w:rFonts w:hint="eastAsia" w:ascii="仿宋_GB2312" w:hAnsi="仿宋_GB2312" w:eastAsia="仿宋_GB2312" w:cs="仿宋_GB2312"/>
          <w:color w:val="auto"/>
          <w:kern w:val="0"/>
          <w:sz w:val="32"/>
          <w:szCs w:val="32"/>
          <w:highlight w:val="none"/>
          <w:lang w:eastAsia="zh-CN" w:bidi="ar"/>
        </w:rPr>
        <w:t>1</w:t>
      </w:r>
      <w:r>
        <w:rPr>
          <w:rFonts w:hint="eastAsia" w:ascii="仿宋_GB2312" w:hAnsi="仿宋_GB2312" w:eastAsia="仿宋_GB2312" w:cs="仿宋_GB2312"/>
          <w:color w:val="auto"/>
          <w:kern w:val="0"/>
          <w:sz w:val="32"/>
          <w:szCs w:val="32"/>
          <w:highlight w:val="none"/>
          <w:lang w:val="en-US" w:eastAsia="zh-CN" w:bidi="ar"/>
        </w:rPr>
        <w:t>1</w:t>
      </w:r>
      <w:r>
        <w:rPr>
          <w:rFonts w:hint="eastAsia" w:ascii="仿宋_GB2312" w:hAnsi="仿宋_GB2312" w:eastAsia="仿宋_GB2312" w:cs="仿宋_GB2312"/>
          <w:color w:val="auto"/>
          <w:kern w:val="0"/>
          <w:sz w:val="32"/>
          <w:szCs w:val="32"/>
          <w:highlight w:val="none"/>
          <w:lang w:bidi="ar"/>
        </w:rPr>
        <w:t>月1</w:t>
      </w:r>
      <w:r>
        <w:rPr>
          <w:rFonts w:hint="eastAsia" w:ascii="仿宋_GB2312" w:hAnsi="仿宋_GB2312" w:eastAsia="仿宋_GB2312" w:cs="仿宋_GB2312"/>
          <w:color w:val="auto"/>
          <w:kern w:val="0"/>
          <w:sz w:val="32"/>
          <w:szCs w:val="32"/>
          <w:highlight w:val="none"/>
          <w:lang w:eastAsia="zh-CN" w:bidi="ar"/>
        </w:rPr>
        <w:t>6</w:t>
      </w:r>
      <w:r>
        <w:rPr>
          <w:rFonts w:hint="eastAsia" w:ascii="仿宋_GB2312" w:hAnsi="仿宋_GB2312" w:eastAsia="仿宋_GB2312" w:cs="仿宋_GB2312"/>
          <w:color w:val="auto"/>
          <w:kern w:val="0"/>
          <w:sz w:val="32"/>
          <w:szCs w:val="32"/>
          <w:highlight w:val="none"/>
          <w:lang w:bidi="ar"/>
        </w:rPr>
        <w:t>日以交通运输部令20</w:t>
      </w:r>
      <w:r>
        <w:rPr>
          <w:rFonts w:hint="eastAsia" w:ascii="仿宋_GB2312" w:hAnsi="仿宋_GB2312" w:eastAsia="仿宋_GB2312" w:cs="仿宋_GB2312"/>
          <w:color w:val="auto"/>
          <w:kern w:val="0"/>
          <w:sz w:val="32"/>
          <w:szCs w:val="32"/>
          <w:highlight w:val="none"/>
          <w:lang w:eastAsia="zh-CN" w:bidi="ar"/>
        </w:rPr>
        <w:t>1</w:t>
      </w:r>
      <w:r>
        <w:rPr>
          <w:rFonts w:hint="eastAsia" w:ascii="仿宋_GB2312" w:hAnsi="仿宋_GB2312" w:eastAsia="仿宋_GB2312" w:cs="仿宋_GB2312"/>
          <w:color w:val="auto"/>
          <w:kern w:val="0"/>
          <w:sz w:val="32"/>
          <w:szCs w:val="32"/>
          <w:highlight w:val="none"/>
          <w:lang w:val="en-US" w:eastAsia="zh-CN" w:bidi="ar"/>
        </w:rPr>
        <w:t>8</w:t>
      </w:r>
      <w:r>
        <w:rPr>
          <w:rFonts w:hint="eastAsia" w:ascii="仿宋_GB2312" w:hAnsi="仿宋_GB2312" w:eastAsia="仿宋_GB2312" w:cs="仿宋_GB2312"/>
          <w:color w:val="auto"/>
          <w:kern w:val="0"/>
          <w:sz w:val="32"/>
          <w:szCs w:val="32"/>
          <w:highlight w:val="none"/>
          <w:lang w:bidi="ar"/>
        </w:rPr>
        <w:t>年第</w:t>
      </w:r>
      <w:r>
        <w:rPr>
          <w:rFonts w:hint="eastAsia" w:ascii="仿宋_GB2312" w:hAnsi="仿宋_GB2312" w:eastAsia="仿宋_GB2312" w:cs="仿宋_GB2312"/>
          <w:color w:val="auto"/>
          <w:kern w:val="0"/>
          <w:sz w:val="32"/>
          <w:szCs w:val="32"/>
          <w:highlight w:val="none"/>
          <w:lang w:eastAsia="zh-CN" w:bidi="ar"/>
        </w:rPr>
        <w:t>3</w:t>
      </w:r>
      <w:r>
        <w:rPr>
          <w:rFonts w:hint="eastAsia" w:ascii="仿宋_GB2312" w:hAnsi="仿宋_GB2312" w:eastAsia="仿宋_GB2312" w:cs="仿宋_GB2312"/>
          <w:color w:val="auto"/>
          <w:kern w:val="0"/>
          <w:sz w:val="32"/>
          <w:szCs w:val="32"/>
          <w:highlight w:val="none"/>
          <w:lang w:val="en-US" w:eastAsia="zh-CN" w:bidi="ar"/>
        </w:rPr>
        <w:t>0</w:t>
      </w:r>
      <w:r>
        <w:rPr>
          <w:rFonts w:hint="eastAsia" w:ascii="仿宋_GB2312" w:hAnsi="仿宋_GB2312" w:eastAsia="仿宋_GB2312" w:cs="仿宋_GB2312"/>
          <w:color w:val="auto"/>
          <w:kern w:val="0"/>
          <w:sz w:val="32"/>
          <w:szCs w:val="32"/>
          <w:highlight w:val="none"/>
          <w:lang w:bidi="ar"/>
        </w:rPr>
        <w:t>号修改的</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《民用航空人员体检合格证管理规则》同时</w:t>
      </w:r>
      <w:r>
        <w:rPr>
          <w:rFonts w:hint="eastAsia" w:ascii="仿宋_GB2312" w:hAnsi="仿宋_GB2312" w:eastAsia="仿宋_GB2312" w:cs="仿宋_GB2312"/>
          <w:i w:val="0"/>
          <w:iCs w:val="0"/>
          <w:color w:val="auto"/>
          <w:kern w:val="0"/>
          <w:sz w:val="32"/>
          <w:szCs w:val="32"/>
          <w:highlight w:val="none"/>
          <w:u w:val="none"/>
          <w:lang w:val="en-US" w:eastAsia="zh-CN" w:bidi="ar"/>
        </w:rPr>
        <w:t>废止。</w:t>
      </w:r>
      <w:r>
        <w:rPr>
          <w:rFonts w:hint="eastAsia" w:ascii="仿宋_GB2312" w:hAnsi="仿宋_GB2312" w:eastAsia="仿宋_GB2312" w:cs="仿宋_GB2312"/>
          <w:i w:val="0"/>
          <w:iCs w:val="0"/>
          <w:color w:val="auto"/>
          <w:kern w:val="0"/>
          <w:sz w:val="32"/>
          <w:szCs w:val="32"/>
          <w:highlight w:val="none"/>
          <w:u w:val="none"/>
          <w:lang w:val="en-US" w:eastAsia="zh-CN" w:bidi="ar"/>
        </w:rPr>
        <w:br w:type="page"/>
      </w:r>
    </w:p>
    <w:p w14:paraId="5C006430">
      <w:pPr>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附件A</w:t>
      </w:r>
    </w:p>
    <w:p w14:paraId="354B6538">
      <w:pPr>
        <w:spacing w:before="301" w:line="703" w:lineRule="exact"/>
        <w:jc w:val="center"/>
        <w:outlineLvl w:val="0"/>
        <w:rPr>
          <w:rFonts w:hint="eastAsia" w:ascii="方正小标宋简体" w:hAnsi="方正小标宋简体" w:eastAsia="方正小标宋简体" w:cs="方正小标宋简体"/>
          <w:color w:val="auto"/>
          <w:spacing w:val="16"/>
          <w:position w:val="-3"/>
          <w:sz w:val="44"/>
          <w:szCs w:val="44"/>
          <w:highlight w:val="none"/>
        </w:rPr>
      </w:pPr>
      <w:r>
        <w:rPr>
          <w:rFonts w:hint="eastAsia" w:ascii="方正小标宋简体" w:hAnsi="方正小标宋简体" w:eastAsia="方正小标宋简体" w:cs="方正小标宋简体"/>
          <w:color w:val="auto"/>
          <w:spacing w:val="16"/>
          <w:position w:val="-3"/>
          <w:sz w:val="44"/>
          <w:szCs w:val="44"/>
          <w:highlight w:val="none"/>
        </w:rPr>
        <w:t>体检合格证医学标准</w:t>
      </w:r>
    </w:p>
    <w:p w14:paraId="0508E009">
      <w:pPr>
        <w:jc w:val="center"/>
        <w:rPr>
          <w:rFonts w:hint="eastAsia" w:ascii="黑体" w:hAnsi="黑体" w:eastAsia="黑体" w:cs="黑体"/>
          <w:color w:val="auto"/>
          <w:sz w:val="32"/>
          <w:szCs w:val="32"/>
          <w:highlight w:val="none"/>
        </w:rPr>
      </w:pPr>
    </w:p>
    <w:p w14:paraId="1E672A2B">
      <w:pPr>
        <w:jc w:val="center"/>
        <w:rPr>
          <w:rFonts w:hint="eastAsia" w:ascii="方正小标宋简体" w:hAnsi="方正小标宋简体" w:eastAsia="方正小标宋简体" w:cs="方正小标宋简体"/>
          <w:color w:val="auto"/>
          <w:sz w:val="44"/>
          <w:szCs w:val="44"/>
          <w:highlight w:val="none"/>
        </w:rPr>
      </w:pPr>
      <w:r>
        <w:rPr>
          <w:rFonts w:hint="eastAsia" w:ascii="黑体" w:hAnsi="黑体" w:eastAsia="黑体" w:cs="黑体"/>
          <w:color w:val="auto"/>
          <w:sz w:val="32"/>
          <w:szCs w:val="32"/>
          <w:highlight w:val="none"/>
        </w:rPr>
        <w:t>第一章 Ⅰ级体检合格证的医学标准</w:t>
      </w:r>
    </w:p>
    <w:p w14:paraId="0EDD1CB4">
      <w:pPr>
        <w:rPr>
          <w:rFonts w:hint="eastAsia" w:ascii="楷体_GB2312" w:hAnsi="楷体_GB2312" w:eastAsia="楷体_GB2312" w:cs="楷体_GB2312"/>
          <w:color w:val="auto"/>
          <w:sz w:val="32"/>
          <w:szCs w:val="32"/>
          <w:highlight w:val="none"/>
        </w:rPr>
      </w:pPr>
    </w:p>
    <w:p w14:paraId="5115AD12">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1.〔一般条件〕</w:t>
      </w:r>
    </w:p>
    <w:p w14:paraId="4896DD6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无下列影响安全履行职责或者因履行职责而加重的疾病或者功能障碍：</w:t>
      </w:r>
    </w:p>
    <w:p w14:paraId="6E57A3D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（1）先天性或者后天获得性功能及形态异常；</w:t>
      </w:r>
    </w:p>
    <w:p w14:paraId="433230D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（2）可能导致失能的活动性、隐匿性、急性或者慢性疾病；</w:t>
      </w:r>
    </w:p>
    <w:p w14:paraId="11931F2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（3）创伤、损伤或者手术后遗症；</w:t>
      </w:r>
    </w:p>
    <w:p w14:paraId="0AA48E2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（4）使用处方或者非处方药物对身体造成的不良影响；</w:t>
      </w:r>
    </w:p>
    <w:p w14:paraId="605F513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（5）使用或者依赖鸦片、海洛因、甲基苯丙胺（冰毒）、吗啡、大麻、可卡因，以及国家规定管制的其他能够使人形成瘾癖的麻醉药品和精神药品。</w:t>
      </w:r>
    </w:p>
    <w:p w14:paraId="7FE59F91">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eastAsia="zh-CN"/>
        </w:rPr>
        <w:t>2.</w:t>
      </w:r>
      <w:r>
        <w:rPr>
          <w:rFonts w:hint="eastAsia" w:ascii="楷体_GB2312" w:hAnsi="楷体_GB2312" w:eastAsia="楷体_GB2312" w:cs="楷体_GB2312"/>
          <w:color w:val="auto"/>
          <w:sz w:val="32"/>
          <w:szCs w:val="32"/>
          <w:highlight w:val="none"/>
        </w:rPr>
        <w:t>〔精神障碍〕</w:t>
      </w:r>
    </w:p>
    <w:p w14:paraId="33ADE12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无下列精神障碍的明确病史或者临床诊断：</w:t>
      </w:r>
    </w:p>
    <w:p w14:paraId="3BA641F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（1）可能影响安全履行职责的器质性精神障碍；</w:t>
      </w:r>
    </w:p>
    <w:p w14:paraId="12C6545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（2）精神活性物质使用所致障碍；</w:t>
      </w:r>
    </w:p>
    <w:p w14:paraId="32F6816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（3）精神分裂症或者其他原发性精神病性障碍；      </w:t>
      </w:r>
    </w:p>
    <w:p w14:paraId="497B69C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（4）双相障碍；</w:t>
      </w:r>
    </w:p>
    <w:p w14:paraId="5D5CDEF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（5）可能影响安全履行职责的抑郁障碍；</w:t>
      </w:r>
    </w:p>
    <w:p w14:paraId="4BDD926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（6）可能影响安全履行职责的焦虑障碍；</w:t>
      </w:r>
    </w:p>
    <w:p w14:paraId="3C52EB1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（7）强迫及相关障碍；</w:t>
      </w:r>
    </w:p>
    <w:p w14:paraId="774521C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（8）可能影响安全履行职责的创伤及应激相关障碍；</w:t>
      </w:r>
    </w:p>
    <w:p w14:paraId="254FD62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（9）分离障碍；</w:t>
      </w:r>
    </w:p>
    <w:p w14:paraId="05E29AB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（10）躯体症状及相关障碍；</w:t>
      </w:r>
    </w:p>
    <w:p w14:paraId="64651BC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（11）进食与喂养障碍；</w:t>
      </w:r>
    </w:p>
    <w:p w14:paraId="71FA7E6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（12）可能影响安全履行职责的睡眠障碍；</w:t>
      </w:r>
    </w:p>
    <w:p w14:paraId="4D77E69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（13）成人人格和行为障碍；</w:t>
      </w:r>
    </w:p>
    <w:p w14:paraId="745EC67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（14）神经发育障碍；</w:t>
      </w:r>
    </w:p>
    <w:p w14:paraId="2F8EB21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（15）通常起病于儿童少年的行为和情绪障碍；                                                           </w:t>
      </w:r>
    </w:p>
    <w:p w14:paraId="31C3D8C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（16）成瘾行为所致障碍。</w:t>
      </w:r>
    </w:p>
    <w:p w14:paraId="087740B0">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3.〔神经系统〕</w:t>
      </w:r>
    </w:p>
    <w:p w14:paraId="69CF8EC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无下列神经系统疾病的明确病史或者临床诊断：</w:t>
      </w:r>
    </w:p>
    <w:p w14:paraId="5E7ADBE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（1）癫痫；</w:t>
      </w:r>
    </w:p>
    <w:p w14:paraId="544F526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（2）原因不明或者难以预防的意识障碍；</w:t>
      </w:r>
    </w:p>
    <w:p w14:paraId="1A632D2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（3）可能影响安全履行职责的颅脑损伤及其并发症；</w:t>
      </w:r>
    </w:p>
    <w:p w14:paraId="0ADF49C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（4）其他可能影响安全履行职责的神经系统疾病或者手术后遗症。</w:t>
      </w:r>
    </w:p>
    <w:p w14:paraId="02B28292">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4.〔循环系统〕</w:t>
      </w:r>
    </w:p>
    <w:p w14:paraId="25219DE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无下列循环系统疾病的明确病史或者临床诊断：</w:t>
      </w:r>
    </w:p>
    <w:p w14:paraId="5C84409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（1）可能影响安全履行职责的冠心病；</w:t>
      </w:r>
    </w:p>
    <w:p w14:paraId="5390F07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（2）可能影响安全履行职责的心律失常；</w:t>
      </w:r>
    </w:p>
    <w:p w14:paraId="1E423A0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（3）可能影响安全履行职责的心脏瓣膜疾病；</w:t>
      </w:r>
    </w:p>
    <w:p w14:paraId="2C854F4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（4）收缩压和/或舒张压持续高于155/95mmHg，或者伴有症状的低血压；</w:t>
      </w:r>
    </w:p>
    <w:p w14:paraId="0FCD140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（5）其他可能影响安全履行职责的循环系统疾病或者手术后遗症。</w:t>
      </w:r>
    </w:p>
    <w:p w14:paraId="28C47CE3">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5.〔呼吸系统〕</w:t>
      </w:r>
    </w:p>
    <w:p w14:paraId="4F6D26D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无下列呼吸系统疾病或者临床诊断：</w:t>
      </w:r>
    </w:p>
    <w:p w14:paraId="25B2BDD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（1）活动性肺结核；</w:t>
      </w:r>
    </w:p>
    <w:p w14:paraId="332CBE0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（2）气胸；</w:t>
      </w:r>
    </w:p>
    <w:p w14:paraId="13A9D50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（3）可能影响安全履行职责的肺、纵隔或者胸膜的活动性疾病；</w:t>
      </w:r>
    </w:p>
    <w:p w14:paraId="695C12D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（4）可能影响安全履行职责的慢性阻塞性肺疾病或者支气管哮喘；</w:t>
      </w:r>
    </w:p>
    <w:p w14:paraId="619568A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（5）其他可能影响安全履行职责的纵隔及胸壁疾病、畸形或者手术后遗症；</w:t>
      </w:r>
    </w:p>
    <w:p w14:paraId="692702A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（6）其他可能影响安全履行职责的呼吸系统疾病或者手术后遗症。 </w:t>
      </w:r>
    </w:p>
    <w:p w14:paraId="3A54ADAF">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6.〔消化系统〕</w:t>
      </w:r>
    </w:p>
    <w:p w14:paraId="4AB4921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无下列消化系统疾病或者临床诊断：</w:t>
      </w:r>
    </w:p>
    <w:p w14:paraId="76C12E4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（1）可能影响安全履行职责的肝硬化；</w:t>
      </w:r>
    </w:p>
    <w:p w14:paraId="2B1ED7D0">
      <w:pPr>
        <w:ind w:firstLine="640" w:firstLineChars="200"/>
        <w:rPr>
          <w:rFonts w:hint="eastAsia" w:ascii="仿宋_GB2312" w:hAnsi="仿宋_GB2312" w:eastAsia="仿宋_GB2312" w:cs="仿宋_GB2312"/>
          <w:strike/>
          <w:color w:val="auto"/>
          <w:sz w:val="32"/>
          <w:szCs w:val="32"/>
          <w:highlight w:val="none"/>
        </w:rPr>
      </w:pPr>
      <w:r>
        <w:rPr>
          <w:rFonts w:hint="eastAsia" w:ascii="仿宋_GB2312" w:hAnsi="仿宋_GB2312" w:eastAsia="仿宋_GB2312" w:cs="仿宋_GB2312"/>
          <w:color w:val="auto"/>
          <w:sz w:val="32"/>
          <w:szCs w:val="32"/>
          <w:highlight w:val="none"/>
        </w:rPr>
        <w:t>（2）可能影响安全履行职责的疝；</w:t>
      </w:r>
    </w:p>
    <w:p w14:paraId="2401CE4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 xml:space="preserve">）可能影响安全履行职责的胆道系统结石； </w:t>
      </w:r>
    </w:p>
    <w:p w14:paraId="096D862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）其他可能影响安全履行职责的消化系统疾病或者手术后遗症。</w:t>
      </w:r>
    </w:p>
    <w:p w14:paraId="45D5B0D3">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7.〔传染病〕</w:t>
      </w:r>
    </w:p>
    <w:p w14:paraId="4BDDE4A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无下列传染病或者临床诊断：</w:t>
      </w:r>
    </w:p>
    <w:p w14:paraId="252E658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（1）病毒性肝炎；</w:t>
      </w:r>
    </w:p>
    <w:p w14:paraId="0490395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（2）梅毒；</w:t>
      </w:r>
    </w:p>
    <w:p w14:paraId="546FA76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（3）获得性免疫缺陷综合征（AIDS）；</w:t>
      </w:r>
    </w:p>
    <w:p w14:paraId="74F6904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（4）人类免疫缺陷病毒（HIV）抗体阳性；</w:t>
      </w:r>
    </w:p>
    <w:p w14:paraId="1F0F6FD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（5）其他可能影响安全履行职责的传染性疾病。</w:t>
      </w:r>
    </w:p>
    <w:p w14:paraId="72699436">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8.〔代谢、免疫和内分泌系统〕</w:t>
      </w:r>
    </w:p>
    <w:p w14:paraId="707E766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无下列代谢、免疫和内分泌系统疾病：</w:t>
      </w:r>
    </w:p>
    <w:p w14:paraId="47F7C64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（1）使用胰岛素控制的糖尿病；</w:t>
      </w:r>
    </w:p>
    <w:p w14:paraId="5C81670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（2）使用可能影响安全履行职责的药物控制的糖尿病；</w:t>
      </w:r>
    </w:p>
    <w:p w14:paraId="5DED14D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（3）其他可能影响安全履行职责的代谢、免疫和内分泌系统疾病或者手术后遗症。</w:t>
      </w:r>
    </w:p>
    <w:p w14:paraId="60540B1D">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9.〔血液系统〕</w:t>
      </w:r>
    </w:p>
    <w:p w14:paraId="1EE7D23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无可能影响安全履行职责的血液系统疾病。</w:t>
      </w:r>
    </w:p>
    <w:p w14:paraId="48A20ABF">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10.〔泌尿生殖系统〕</w:t>
      </w:r>
    </w:p>
    <w:p w14:paraId="4B31905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无下列泌尿生殖系统疾病或者临床诊断：</w:t>
      </w:r>
    </w:p>
    <w:p w14:paraId="692D664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（1）可能影响安全履行职责的泌尿系统结石；</w:t>
      </w:r>
    </w:p>
    <w:p w14:paraId="403E622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（2）其他可能影响安全履行职责的泌尿生殖系统疾病或者手术后遗症。</w:t>
      </w:r>
    </w:p>
    <w:p w14:paraId="7C239F39">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11.〔妊娠〕</w:t>
      </w:r>
    </w:p>
    <w:p w14:paraId="2AFB645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妊娠期内不合格。</w:t>
      </w:r>
    </w:p>
    <w:p w14:paraId="67E36D74">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12.〔运动系统〕</w:t>
      </w:r>
    </w:p>
    <w:p w14:paraId="4149A76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（1）身高、体重等身体条件应当满足安全履行职责的需要；</w:t>
      </w:r>
    </w:p>
    <w:p w14:paraId="0868BE9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（2）无可能影响安全履行职责的运动系统疾病或者手术后遗症。 </w:t>
      </w:r>
    </w:p>
    <w:p w14:paraId="4F50FA0C">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13.〔皮肤及其附属器〕</w:t>
      </w:r>
    </w:p>
    <w:p w14:paraId="601C4F7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无可能影响安全履行职责的皮肤及其附属器疾病或者手术后遗症。</w:t>
      </w:r>
    </w:p>
    <w:p w14:paraId="59EDB268">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 xml:space="preserve">14.〔耳、鼻、咽、喉及口腔〕 </w:t>
      </w:r>
    </w:p>
    <w:p w14:paraId="291E621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无下列耳、鼻、咽、喉、口腔疾病或者功能障碍： </w:t>
      </w:r>
    </w:p>
    <w:p w14:paraId="2830CCD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（1）可能影响安全履行职责的耳气压功能不良；</w:t>
      </w:r>
    </w:p>
    <w:p w14:paraId="058B1D9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（2）前庭功能障碍；</w:t>
      </w:r>
    </w:p>
    <w:p w14:paraId="1989D4D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（3）可能影响安全履行职责的言语功能障碍；</w:t>
      </w:r>
    </w:p>
    <w:p w14:paraId="738304D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（4）可能影响安全履行职责的阻塞性睡眠呼吸暂停；</w:t>
      </w:r>
    </w:p>
    <w:p w14:paraId="0B85B3F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（5）其他可能影响安全履行职责的耳、鼻、咽、喉、口腔疾病或者功能障碍。</w:t>
      </w:r>
    </w:p>
    <w:p w14:paraId="3C7C9C79">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15.〔听力〕</w:t>
      </w:r>
    </w:p>
    <w:p w14:paraId="0BDD9F9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
        </w:rPr>
        <w:t>a</w:t>
      </w:r>
      <w:r>
        <w:rPr>
          <w:rFonts w:hint="eastAsia" w:ascii="仿宋_GB2312" w:hAnsi="仿宋_GB2312" w:eastAsia="仿宋_GB2312" w:cs="仿宋_GB2312"/>
          <w:color w:val="auto"/>
          <w:sz w:val="32"/>
          <w:szCs w:val="32"/>
          <w:highlight w:val="none"/>
        </w:rPr>
        <w:t>）进行纯音听阈测试时，每耳在500、1000和2000赫兹（Hz）的任一频率上的听力损失不超过35分贝（dB HL）；在3000赫兹（Hz）频率上的听力损失不超过50分贝（dB HL）。如果申请人的听力损失超过上述值，应当同时通过听力实际能力测试和背离试验。</w:t>
      </w:r>
    </w:p>
    <w:p w14:paraId="3A069E8B">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（b）无须进行纯音听阈测试时，应当进行背离试验和耳语检查：</w:t>
      </w:r>
    </w:p>
    <w:p w14:paraId="13B5B318">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（1）同时通过可合格；</w:t>
      </w:r>
    </w:p>
    <w:p w14:paraId="4381FE6B">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（2）背离试验未通过不合格；</w:t>
      </w:r>
    </w:p>
    <w:p w14:paraId="00D62BED">
      <w:pPr>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
        </w:rPr>
        <w:t>（3）仅耳语检查未通过，</w:t>
      </w:r>
      <w:r>
        <w:rPr>
          <w:rFonts w:hint="eastAsia" w:ascii="仿宋_GB2312" w:hAnsi="仿宋_GB2312" w:eastAsia="仿宋_GB2312" w:cs="仿宋_GB2312"/>
          <w:color w:val="auto"/>
          <w:sz w:val="32"/>
          <w:szCs w:val="32"/>
          <w:highlight w:val="none"/>
          <w:lang w:val="en-US" w:eastAsia="zh-CN"/>
        </w:rPr>
        <w:t>应当满足本条（a）款的听力要求</w:t>
      </w:r>
      <w:r>
        <w:rPr>
          <w:rFonts w:hint="eastAsia" w:ascii="仿宋_GB2312" w:hAnsi="仿宋_GB2312" w:eastAsia="仿宋_GB2312" w:cs="仿宋_GB2312"/>
          <w:color w:val="auto"/>
          <w:sz w:val="32"/>
          <w:szCs w:val="32"/>
          <w:highlight w:val="none"/>
          <w:lang w:eastAsia="zh-CN"/>
        </w:rPr>
        <w:t>。</w:t>
      </w:r>
    </w:p>
    <w:p w14:paraId="2231A35D">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16.〔眼及其附属器〕</w:t>
      </w:r>
    </w:p>
    <w:p w14:paraId="114FFD8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无下列眼及其附属器的疾病或者功能障碍：</w:t>
      </w:r>
    </w:p>
    <w:p w14:paraId="54BEFA5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（1）视野异常；</w:t>
      </w:r>
    </w:p>
    <w:p w14:paraId="6712553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（2）色盲或者可能影响安全履行职责的色弱；</w:t>
      </w:r>
    </w:p>
    <w:p w14:paraId="655FC8B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（3）夜盲；</w:t>
      </w:r>
    </w:p>
    <w:p w14:paraId="7FD7A52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（4）可能影响安全履行职责的双眼视功能异常；</w:t>
      </w:r>
    </w:p>
    <w:p w14:paraId="7CC9357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（5）其他可能影响安全履行职责的眼及其附属器的疾病、手术或者创伤后遗症。</w:t>
      </w:r>
    </w:p>
    <w:p w14:paraId="4AAE11CB">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 xml:space="preserve">17.〔视力〕 </w:t>
      </w:r>
    </w:p>
    <w:p w14:paraId="124258A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17.1〔</w:t>
      </w:r>
      <w:r>
        <w:rPr>
          <w:rFonts w:hint="eastAsia" w:ascii="楷体_GB2312" w:hAnsi="楷体_GB2312" w:eastAsia="楷体_GB2312" w:cs="楷体_GB2312"/>
          <w:color w:val="auto"/>
          <w:sz w:val="32"/>
          <w:szCs w:val="32"/>
          <w:highlight w:val="none"/>
        </w:rPr>
        <w:t>远视力</w:t>
      </w:r>
      <w:r>
        <w:rPr>
          <w:rFonts w:hint="eastAsia" w:ascii="仿宋_GB2312" w:hAnsi="仿宋_GB2312" w:eastAsia="仿宋_GB2312" w:cs="仿宋_GB2312"/>
          <w:color w:val="auto"/>
          <w:sz w:val="32"/>
          <w:szCs w:val="32"/>
          <w:highlight w:val="none"/>
        </w:rPr>
        <w:t>〕</w:t>
      </w:r>
    </w:p>
    <w:p w14:paraId="0F194D1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（a）每眼矫正或者未矫正的远视力应当达到0.7或者以上，双眼远视力应当达到1.0或者以上。对未矫正视力和屈光度无限制。如果仅在使用矫正镜才能达到以上规定时，应当同时满足下列条件方可合格：</w:t>
      </w:r>
    </w:p>
    <w:p w14:paraId="02A6184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（1）在履行职责期间，必须佩戴矫正镜；</w:t>
      </w:r>
    </w:p>
    <w:p w14:paraId="282DA54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（2）在履行职责期间，备有一副随时可取用的、与所戴矫正镜度数相同的备份矫正镜。</w:t>
      </w:r>
    </w:p>
    <w:p w14:paraId="77E488B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（b）为满足本条（a）款的要求，申请人可以使用接触镜，但应当同时满足下列条件：</w:t>
      </w:r>
    </w:p>
    <w:p w14:paraId="765CF1E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（1）接触镜的镜片是单焦点、无色的；</w:t>
      </w:r>
    </w:p>
    <w:p w14:paraId="28DE5AF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（2）镜片佩戴舒适；</w:t>
      </w:r>
    </w:p>
    <w:p w14:paraId="34EB8F3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（3）在履行职责期间，应当备有一副随时可取用的、与所戴矫正镜度数相同的备份普通矫正镜。                          </w:t>
      </w:r>
    </w:p>
    <w:p w14:paraId="1D32367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（c）高度屈光不正应当使用接触镜或者高性能普通眼镜。</w:t>
      </w:r>
    </w:p>
    <w:p w14:paraId="5A8A34D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（d）任何一眼未矫正远视力低于0.1，应当对眼及其附属器进行全面检查。</w:t>
      </w:r>
    </w:p>
    <w:p w14:paraId="05C49AF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（e）任何一眼有影响安全履行职责的改变眼屈光状态的手术后遗症不合格。</w:t>
      </w:r>
    </w:p>
    <w:p w14:paraId="06EE9AE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17.2〔</w:t>
      </w:r>
      <w:r>
        <w:rPr>
          <w:rFonts w:hint="eastAsia" w:ascii="楷体_GB2312" w:hAnsi="楷体_GB2312" w:eastAsia="楷体_GB2312" w:cs="楷体_GB2312"/>
          <w:color w:val="auto"/>
          <w:sz w:val="32"/>
          <w:szCs w:val="32"/>
          <w:highlight w:val="none"/>
        </w:rPr>
        <w:t>近视力和中间视力</w:t>
      </w:r>
      <w:r>
        <w:rPr>
          <w:rFonts w:hint="eastAsia" w:ascii="仿宋_GB2312" w:hAnsi="仿宋_GB2312" w:eastAsia="仿宋_GB2312" w:cs="仿宋_GB2312"/>
          <w:color w:val="auto"/>
          <w:sz w:val="32"/>
          <w:szCs w:val="32"/>
          <w:highlight w:val="none"/>
        </w:rPr>
        <w:t>〕</w:t>
      </w:r>
    </w:p>
    <w:p w14:paraId="02C9457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每眼矫正或者未矫正的近视力在30-50厘米的距离范围内应当达到0.5或者以上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中间视力在100厘米的距离应当达到0.25或者以上。如果仅在使用矫正镜才能达到以上规定时，应当同时满足下列条件方可合格：</w:t>
      </w:r>
    </w:p>
    <w:p w14:paraId="62C7DA2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（1）在履行职责期间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应当备有一副随时可取用的矫正镜；</w:t>
      </w:r>
    </w:p>
    <w:p w14:paraId="32F47A8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（2）矫正镜必须能同时满足17.1条和本条的视力要求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不得使用单一矫正近视力的矫正镜。</w:t>
      </w:r>
    </w:p>
    <w:p w14:paraId="469675C0">
      <w:pPr>
        <w:rPr>
          <w:rFonts w:hint="eastAsia" w:ascii="方正小标宋简体" w:hAnsi="方正小标宋简体" w:eastAsia="方正小标宋简体" w:cs="方正小标宋简体"/>
          <w:color w:val="auto"/>
          <w:sz w:val="32"/>
          <w:szCs w:val="32"/>
          <w:highlight w:val="none"/>
        </w:rPr>
      </w:pPr>
    </w:p>
    <w:p w14:paraId="50D744E5">
      <w:pPr>
        <w:jc w:val="center"/>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第二章 Ⅱ级体检合格证的医学标准</w:t>
      </w:r>
    </w:p>
    <w:p w14:paraId="20547800">
      <w:pPr>
        <w:rPr>
          <w:rFonts w:hint="eastAsia" w:ascii="方正小标宋简体" w:hAnsi="方正小标宋简体" w:eastAsia="方正小标宋简体" w:cs="方正小标宋简体"/>
          <w:color w:val="auto"/>
          <w:sz w:val="32"/>
          <w:szCs w:val="32"/>
          <w:highlight w:val="none"/>
        </w:rPr>
      </w:pPr>
    </w:p>
    <w:p w14:paraId="2DE9AB15">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1.〔一般条件〕</w:t>
      </w:r>
    </w:p>
    <w:p w14:paraId="1B133E8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无下列影响安全履行职责或者因履行职责而加重的疾病或者功能障碍：</w:t>
      </w:r>
    </w:p>
    <w:p w14:paraId="08DC4B0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（1）先天性或者后天获得性功能及形态异常；</w:t>
      </w:r>
    </w:p>
    <w:p w14:paraId="1F16D4E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（2）可能导致失能的活动性、隐匿性、急性或者慢性疾病；</w:t>
      </w:r>
    </w:p>
    <w:p w14:paraId="00E11D9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（3）创伤、损伤或者手术后遗症；</w:t>
      </w:r>
    </w:p>
    <w:p w14:paraId="4292141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（4）使用处方或者非处方药物对身体造成的不良影响；</w:t>
      </w:r>
    </w:p>
    <w:p w14:paraId="5FFA9D6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（5）使用或者依赖鸦片、海洛因、甲基苯丙胺（冰毒）、吗啡、大麻、可卡因，以及国家规定管制的其他能够使人形成瘾癖的麻醉药品和精神药品。</w:t>
      </w:r>
    </w:p>
    <w:p w14:paraId="176FBBAE">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eastAsia="zh-CN"/>
        </w:rPr>
        <w:t>2.</w:t>
      </w:r>
      <w:r>
        <w:rPr>
          <w:rFonts w:hint="eastAsia" w:ascii="楷体_GB2312" w:hAnsi="楷体_GB2312" w:eastAsia="楷体_GB2312" w:cs="楷体_GB2312"/>
          <w:color w:val="auto"/>
          <w:sz w:val="32"/>
          <w:szCs w:val="32"/>
          <w:highlight w:val="none"/>
        </w:rPr>
        <w:t>〔精神障碍〕</w:t>
      </w:r>
    </w:p>
    <w:p w14:paraId="59ED513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无下列精神障碍的明确病史或者临床诊断：</w:t>
      </w:r>
    </w:p>
    <w:p w14:paraId="0BA26CA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（1）可能影响安全履行职责的器质性精神障碍；</w:t>
      </w:r>
    </w:p>
    <w:p w14:paraId="4A3AD5D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（2）精神活性物质使用所致障碍；</w:t>
      </w:r>
    </w:p>
    <w:p w14:paraId="1425DF7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（3）精神分裂症或者其他原发性精神病性障碍；      </w:t>
      </w:r>
    </w:p>
    <w:p w14:paraId="0B571D2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（4）双相障碍；</w:t>
      </w:r>
    </w:p>
    <w:p w14:paraId="49D3810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（5）可能影响安全履行职责的抑郁障碍；</w:t>
      </w:r>
    </w:p>
    <w:p w14:paraId="004AE10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（6）可能影响安全履行职责的焦虑障碍；</w:t>
      </w:r>
    </w:p>
    <w:p w14:paraId="4612AB5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（7）强迫及相关障碍；</w:t>
      </w:r>
    </w:p>
    <w:p w14:paraId="61CFE83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（8）可能影响安全履行职责的创伤及应激相关障碍；</w:t>
      </w:r>
    </w:p>
    <w:p w14:paraId="62AB3C6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（9）分离障碍；</w:t>
      </w:r>
    </w:p>
    <w:p w14:paraId="258257F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（10）躯体症状及相关障碍；</w:t>
      </w:r>
    </w:p>
    <w:p w14:paraId="1209764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（11）进食与喂养障碍；</w:t>
      </w:r>
    </w:p>
    <w:p w14:paraId="0CF37D3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（12）可能影响安全履行职责的睡眠障碍；</w:t>
      </w:r>
    </w:p>
    <w:p w14:paraId="75C0713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（13）成人人格和行为障碍；</w:t>
      </w:r>
    </w:p>
    <w:p w14:paraId="338880B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（14）神经发育障碍；</w:t>
      </w:r>
    </w:p>
    <w:p w14:paraId="2F44C3A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（15）通常起病于儿童少年的行为和情绪障碍；                                                           </w:t>
      </w:r>
    </w:p>
    <w:p w14:paraId="4B074E6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（16）成瘾行为所致障碍。</w:t>
      </w:r>
    </w:p>
    <w:p w14:paraId="67D87AF0">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3.〔神经系统〕</w:t>
      </w:r>
    </w:p>
    <w:p w14:paraId="2D3FDFE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无下列神经系统疾病的明确病史或者临床诊断：</w:t>
      </w:r>
    </w:p>
    <w:p w14:paraId="024E1FD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（1）癫痫；</w:t>
      </w:r>
    </w:p>
    <w:p w14:paraId="049ACFD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（2）原因不明或者难以预防的意识障碍；</w:t>
      </w:r>
    </w:p>
    <w:p w14:paraId="149F34D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（3）可能影响安全履行职责的颅脑损伤及其并发症；</w:t>
      </w:r>
    </w:p>
    <w:p w14:paraId="28450F2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（4）其他可能影响安全履行职责的神经系统疾病或者手术后遗症。</w:t>
      </w:r>
    </w:p>
    <w:p w14:paraId="3BA5D610">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4.〔循环系统〕</w:t>
      </w:r>
    </w:p>
    <w:p w14:paraId="348A8B7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无下列循环系统疾病的明确病史或者临床诊断：</w:t>
      </w:r>
    </w:p>
    <w:p w14:paraId="11E88A0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（1）可能影响安全履行职责的冠心病；</w:t>
      </w:r>
    </w:p>
    <w:p w14:paraId="44535EF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（2）可能影响安全履行职责的心律失常；</w:t>
      </w:r>
    </w:p>
    <w:p w14:paraId="6AF5AED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（3）可能影响安全履行职责的心脏瓣膜疾病；</w:t>
      </w:r>
    </w:p>
    <w:p w14:paraId="274D28D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（4）收缩压和/或舒张压持续高于155/95mmHg，或者伴有症状的低血压；</w:t>
      </w:r>
    </w:p>
    <w:p w14:paraId="2D4D279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（5）其他可能影响安全履行职责的循环系统疾病或者手术后遗症。</w:t>
      </w:r>
    </w:p>
    <w:p w14:paraId="42F4E858">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5.〔呼吸系统〕</w:t>
      </w:r>
    </w:p>
    <w:p w14:paraId="6355EEC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无下列呼吸系统疾病或者临床诊断：</w:t>
      </w:r>
    </w:p>
    <w:p w14:paraId="730563C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（1）活动性肺结核；</w:t>
      </w:r>
    </w:p>
    <w:p w14:paraId="2D96E72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（2）气胸；</w:t>
      </w:r>
    </w:p>
    <w:p w14:paraId="3969782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（3）可能影响安全履行职责的肺、纵隔或者胸膜的活动性疾病；</w:t>
      </w:r>
    </w:p>
    <w:p w14:paraId="69265B2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（4）可能影响安全履行职责的慢性阻塞性肺疾病或者支气管哮喘；</w:t>
      </w:r>
    </w:p>
    <w:p w14:paraId="5036618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（5）其他可能影响安全履行职责的纵隔及胸壁疾病、畸形或者手术后遗症；</w:t>
      </w:r>
    </w:p>
    <w:p w14:paraId="377EED4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（6）其他可能影响安全履行职责的呼吸系统疾病或者手术后遗症。 </w:t>
      </w:r>
    </w:p>
    <w:p w14:paraId="2ADEA37B">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6.〔消化系统〕</w:t>
      </w:r>
    </w:p>
    <w:p w14:paraId="44A71A8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无下列消化系统疾病或者临床诊断：</w:t>
      </w:r>
    </w:p>
    <w:p w14:paraId="7F9EB00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（1）可能影响安全履行职责的肝硬化；</w:t>
      </w:r>
    </w:p>
    <w:p w14:paraId="4104374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（2）可能影响安全履行职责的疝；</w:t>
      </w:r>
    </w:p>
    <w:p w14:paraId="6751C7A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 xml:space="preserve">）可能影响安全履行职责的胆道系统结石； </w:t>
      </w:r>
    </w:p>
    <w:p w14:paraId="32A8225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）其他可能影响安全履行职责的消化系统疾病或者手术后遗症。</w:t>
      </w:r>
    </w:p>
    <w:p w14:paraId="616F9F17">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7.〔传染病〕</w:t>
      </w:r>
    </w:p>
    <w:p w14:paraId="01260BC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无下列传染病或者临床诊断：</w:t>
      </w:r>
    </w:p>
    <w:p w14:paraId="249C6EC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（1）病毒性肝炎； </w:t>
      </w:r>
    </w:p>
    <w:p w14:paraId="7A235EF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（2）梅毒；</w:t>
      </w:r>
    </w:p>
    <w:p w14:paraId="1C4496F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（3）获得性免疫缺陷综合征（AIDS）；</w:t>
      </w:r>
    </w:p>
    <w:p w14:paraId="47E0F6C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（4）人类免疫缺陷病毒（HIV）抗体阳性；</w:t>
      </w:r>
    </w:p>
    <w:p w14:paraId="4ABB664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（5）其他可能影响安全履行职责的传染性疾病。</w:t>
      </w:r>
    </w:p>
    <w:p w14:paraId="7188092F">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8.〔代谢、免疫和内分泌系统〕</w:t>
      </w:r>
    </w:p>
    <w:p w14:paraId="79AC353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无下列代谢、免疫和内分泌系统疾病：</w:t>
      </w:r>
    </w:p>
    <w:p w14:paraId="236DB2C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（1）使用胰岛素控制的糖尿病；</w:t>
      </w:r>
    </w:p>
    <w:p w14:paraId="00DB31C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（2）使用可能影响安全履行职责的药物控制的糖尿病；</w:t>
      </w:r>
    </w:p>
    <w:p w14:paraId="2D1F9D2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（3）其他可能影响安全履行职责的代谢、免疫和内分泌系统疾病或者手术后遗症。</w:t>
      </w:r>
    </w:p>
    <w:p w14:paraId="693714CE">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9.〔血液系统〕</w:t>
      </w:r>
    </w:p>
    <w:p w14:paraId="3526141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无可能影响安全履行职责的血液系统疾病。</w:t>
      </w:r>
    </w:p>
    <w:p w14:paraId="129DCC4B">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10.〔泌尿生殖系统〕</w:t>
      </w:r>
    </w:p>
    <w:p w14:paraId="7574399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无下列泌尿生殖系统疾病或者临床诊断：</w:t>
      </w:r>
    </w:p>
    <w:p w14:paraId="010BB76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（1）可能影响安全履行职责的泌尿系统结石；</w:t>
      </w:r>
    </w:p>
    <w:p w14:paraId="6998CA8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（2）其他可能影响安全履行职责的泌尿生殖系统疾病或者手术后遗症。</w:t>
      </w:r>
    </w:p>
    <w:p w14:paraId="56725D1A">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11.〔妊娠〕</w:t>
      </w:r>
    </w:p>
    <w:p w14:paraId="5481E78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无可能影响安全履行职责的妊娠。</w:t>
      </w:r>
    </w:p>
    <w:p w14:paraId="1432A4F0">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12.〔运动系统〕</w:t>
      </w:r>
    </w:p>
    <w:p w14:paraId="6E364D2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（1）身高、体重等身体条件应当满足安全履行职责的需要；</w:t>
      </w:r>
    </w:p>
    <w:p w14:paraId="279C875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（2）无可能影响安全履行职责的运动系统疾病或者手术后遗症。</w:t>
      </w:r>
    </w:p>
    <w:p w14:paraId="12872400">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13.〔皮肤及其附属器〕</w:t>
      </w:r>
    </w:p>
    <w:p w14:paraId="0E1B534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无可能影响安全履行职责的皮肤及其附属器疾病或者手术后遗症。</w:t>
      </w:r>
    </w:p>
    <w:p w14:paraId="6FE542B6">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 xml:space="preserve">14.〔耳、鼻、咽、喉及口腔〕 </w:t>
      </w:r>
    </w:p>
    <w:p w14:paraId="08611E9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无下列耳、鼻、咽、喉、口腔疾病或者功能障碍： </w:t>
      </w:r>
    </w:p>
    <w:p w14:paraId="29D1D9B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（1）可能影响安全履行职责的耳气压功能不良；</w:t>
      </w:r>
    </w:p>
    <w:p w14:paraId="58EECB2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（2）前庭功能障碍；</w:t>
      </w:r>
    </w:p>
    <w:p w14:paraId="240E88B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（3）可能影响安全履行职责的言语功能障碍；</w:t>
      </w:r>
    </w:p>
    <w:p w14:paraId="124A694D">
      <w:pPr>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可能影响安全履行职责的阻塞性睡眠呼吸暂停；</w:t>
      </w:r>
    </w:p>
    <w:p w14:paraId="57D9069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）其他可能影响安全履行职责的耳、鼻、咽、喉、口腔疾病或者功能障碍。</w:t>
      </w:r>
    </w:p>
    <w:p w14:paraId="57A82207">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15.〔听力〕</w:t>
      </w:r>
    </w:p>
    <w:p w14:paraId="5669D85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（a）进行纯音听阈测试时，应当同时满足下列条件时可合格：</w:t>
      </w:r>
    </w:p>
    <w:p w14:paraId="752A2DD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（1）每耳在500、1000和2000赫兹（Hz）的任一频率上的听力损失不超过35分贝（dB HL）；在3000赫兹（Hz）频率上的听力损失不超过50分贝（dB HL）； </w:t>
      </w:r>
    </w:p>
    <w:p w14:paraId="7C481AB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（2）背离试验通过。</w:t>
      </w:r>
    </w:p>
    <w:p w14:paraId="37E1BD7F">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rPr>
        <w:t xml:space="preserve">如果申请人不能同时满足上述条件时，应当通过听力实际能力测试。 </w:t>
      </w:r>
    </w:p>
    <w:p w14:paraId="420D9D1E">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（b）无须进行纯音听阈测试时，应当进行背离试验和耳语检查：</w:t>
      </w:r>
    </w:p>
    <w:p w14:paraId="2F602AC7">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（1）同时通过可合格；</w:t>
      </w:r>
    </w:p>
    <w:p w14:paraId="7E7B24FB">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（2）背离试验未通过，应当通过听力实际能力测试；</w:t>
      </w:r>
    </w:p>
    <w:p w14:paraId="648573F3">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（3）仅耳语检查未通过，</w:t>
      </w:r>
      <w:r>
        <w:rPr>
          <w:rFonts w:hint="eastAsia" w:ascii="仿宋_GB2312" w:hAnsi="仿宋_GB2312" w:eastAsia="仿宋_GB2312" w:cs="仿宋_GB2312"/>
          <w:color w:val="auto"/>
          <w:sz w:val="32"/>
          <w:szCs w:val="32"/>
          <w:highlight w:val="none"/>
          <w:lang w:val="en-US" w:eastAsia="zh-CN"/>
        </w:rPr>
        <w:t>应当满足本条（a）款的听力要求。</w:t>
      </w:r>
    </w:p>
    <w:p w14:paraId="08662A3A">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16.〔眼及其附属器〕</w:t>
      </w:r>
    </w:p>
    <w:p w14:paraId="1DDBC354">
      <w:pPr>
        <w:ind w:firstLine="640" w:firstLineChars="200"/>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rPr>
        <w:t xml:space="preserve"> </w:t>
      </w:r>
      <w:r>
        <w:rPr>
          <w:rFonts w:hint="eastAsia" w:ascii="仿宋_GB2312" w:hAnsi="仿宋_GB2312" w:eastAsia="仿宋_GB2312" w:cs="仿宋_GB2312"/>
          <w:color w:val="auto"/>
          <w:sz w:val="32"/>
          <w:szCs w:val="32"/>
          <w:highlight w:val="none"/>
        </w:rPr>
        <w:t xml:space="preserve">无下列眼及其附属器的疾病或者功能障碍： </w:t>
      </w:r>
    </w:p>
    <w:p w14:paraId="78411C1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（1）视野异常； </w:t>
      </w:r>
    </w:p>
    <w:p w14:paraId="6049657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（2）色盲或者可能影响安全履行职责的色弱；</w:t>
      </w:r>
    </w:p>
    <w:p w14:paraId="45D7AD7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（3）夜盲； </w:t>
      </w:r>
    </w:p>
    <w:p w14:paraId="1649871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（4）可能影响安全履行职责的双眼视功能异常； </w:t>
      </w:r>
    </w:p>
    <w:p w14:paraId="2EC96FB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（5）其他可能影响安全履行职责的眼及其附属器的疾病、手术或者创伤后遗症。</w:t>
      </w:r>
    </w:p>
    <w:p w14:paraId="794BF71B">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 xml:space="preserve">17.〔视力〕 </w:t>
      </w:r>
    </w:p>
    <w:p w14:paraId="1DC1BF7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17.1〔</w:t>
      </w:r>
      <w:r>
        <w:rPr>
          <w:rFonts w:hint="eastAsia" w:ascii="楷体_GB2312" w:hAnsi="楷体_GB2312" w:eastAsia="楷体_GB2312" w:cs="楷体_GB2312"/>
          <w:color w:val="auto"/>
          <w:sz w:val="32"/>
          <w:szCs w:val="32"/>
          <w:highlight w:val="none"/>
        </w:rPr>
        <w:t>远视力</w:t>
      </w:r>
      <w:r>
        <w:rPr>
          <w:rFonts w:hint="eastAsia" w:ascii="仿宋_GB2312" w:hAnsi="仿宋_GB2312" w:eastAsia="仿宋_GB2312" w:cs="仿宋_GB2312"/>
          <w:color w:val="auto"/>
          <w:sz w:val="32"/>
          <w:szCs w:val="32"/>
          <w:highlight w:val="none"/>
        </w:rPr>
        <w:t xml:space="preserve">〕 </w:t>
      </w:r>
    </w:p>
    <w:p w14:paraId="335329F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（a）每眼矫正或者未矫正的远视力应当达到0.5或者以上，双眼远视力应当达到0.7或者以上。对未矫正视力和屈光度无限制。如果仅在使用矫正镜才能达到以上规定时，应当同时满足下列条件方可合格： </w:t>
      </w:r>
    </w:p>
    <w:p w14:paraId="4204657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（1）在履行职责期间，必须佩戴矫正镜； </w:t>
      </w:r>
    </w:p>
    <w:p w14:paraId="045C387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（2）在履行职责期间，备有一副随时可取用的、与所戴矫正镜度数相同的备份矫正镜。 </w:t>
      </w:r>
    </w:p>
    <w:p w14:paraId="1AF8738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（b）为满足本条（a）款的要求，申请人可以使用接触镜，但应当同时满足下列条件： </w:t>
      </w:r>
    </w:p>
    <w:p w14:paraId="692D639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（1）接触镜的镜片是单焦点、无色的； </w:t>
      </w:r>
    </w:p>
    <w:p w14:paraId="4FB24B7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（2）镜片佩戴舒适； </w:t>
      </w:r>
    </w:p>
    <w:p w14:paraId="3AEEC9D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（3）在履行职责期间，应当备有一副随时可取用的、与所戴矫正镜度数相同的备份普通矫正镜。 </w:t>
      </w:r>
    </w:p>
    <w:p w14:paraId="6751A57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（c）高度屈光不正应当使用接触镜或者高性能普通眼镜。 </w:t>
      </w:r>
    </w:p>
    <w:p w14:paraId="037DBD9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d</w:t>
      </w:r>
      <w:r>
        <w:rPr>
          <w:rFonts w:hint="eastAsia" w:ascii="仿宋_GB2312" w:hAnsi="仿宋_GB2312" w:eastAsia="仿宋_GB2312" w:cs="仿宋_GB2312"/>
          <w:color w:val="auto"/>
          <w:sz w:val="32"/>
          <w:szCs w:val="32"/>
          <w:highlight w:val="none"/>
        </w:rPr>
        <w:t>）任何一眼未矫正远视力低于0.1，应当对眼及其附属器进行全面检查。</w:t>
      </w:r>
    </w:p>
    <w:p w14:paraId="1F78800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e</w:t>
      </w:r>
      <w:r>
        <w:rPr>
          <w:rFonts w:hint="eastAsia" w:ascii="仿宋_GB2312" w:hAnsi="仿宋_GB2312" w:eastAsia="仿宋_GB2312" w:cs="仿宋_GB2312"/>
          <w:color w:val="auto"/>
          <w:sz w:val="32"/>
          <w:szCs w:val="32"/>
          <w:highlight w:val="none"/>
        </w:rPr>
        <w:t>）任何一眼有影响安全履行职责的改变眼屈光状态的手术后遗症不合格。</w:t>
      </w:r>
    </w:p>
    <w:p w14:paraId="609FF7D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17.2〔</w:t>
      </w:r>
      <w:r>
        <w:rPr>
          <w:rFonts w:hint="eastAsia" w:ascii="楷体_GB2312" w:hAnsi="楷体_GB2312" w:eastAsia="楷体_GB2312" w:cs="楷体_GB2312"/>
          <w:color w:val="auto"/>
          <w:sz w:val="32"/>
          <w:szCs w:val="32"/>
          <w:highlight w:val="none"/>
        </w:rPr>
        <w:t>近视力</w:t>
      </w:r>
      <w:r>
        <w:rPr>
          <w:rFonts w:hint="eastAsia" w:ascii="仿宋_GB2312" w:hAnsi="仿宋_GB2312" w:eastAsia="仿宋_GB2312" w:cs="仿宋_GB2312"/>
          <w:color w:val="auto"/>
          <w:sz w:val="32"/>
          <w:szCs w:val="32"/>
          <w:highlight w:val="none"/>
        </w:rPr>
        <w:t xml:space="preserve">〕 </w:t>
      </w:r>
    </w:p>
    <w:p w14:paraId="507073D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每眼矫正或者未矫正的近视力在30-50厘米的距离范围内应当达到0.5或者以上。如果仅在使用矫正镜才能达到以上规定时，应当同时满足下列条件方可合格： </w:t>
      </w:r>
    </w:p>
    <w:p w14:paraId="47F1286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（1）在履行职责期间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应当备有一副随时可取用的矫正镜； </w:t>
      </w:r>
    </w:p>
    <w:p w14:paraId="598A907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（2）矫正镜必须能同时满足17.1条和本条的视力要求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不得使用单一矫正近视力的矫正镜。</w:t>
      </w:r>
    </w:p>
    <w:p w14:paraId="79627536">
      <w:pPr>
        <w:ind w:firstLine="640" w:firstLineChars="200"/>
        <w:rPr>
          <w:rFonts w:hint="eastAsia" w:ascii="仿宋_GB2312" w:hAnsi="仿宋_GB2312" w:eastAsia="仿宋_GB2312" w:cs="仿宋_GB2312"/>
          <w:color w:val="auto"/>
          <w:sz w:val="32"/>
          <w:szCs w:val="32"/>
          <w:highlight w:val="none"/>
        </w:rPr>
      </w:pPr>
    </w:p>
    <w:p w14:paraId="28398D22">
      <w:pPr>
        <w:jc w:val="center"/>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第三章 Ⅲ级体检合格证的医学标准</w:t>
      </w:r>
    </w:p>
    <w:p w14:paraId="00A09EE0">
      <w:pPr>
        <w:rPr>
          <w:rFonts w:hint="eastAsia" w:ascii="方正小标宋简体" w:hAnsi="方正小标宋简体" w:eastAsia="方正小标宋简体" w:cs="方正小标宋简体"/>
          <w:color w:val="auto"/>
          <w:sz w:val="32"/>
          <w:szCs w:val="32"/>
          <w:highlight w:val="none"/>
        </w:rPr>
      </w:pPr>
    </w:p>
    <w:p w14:paraId="75972D98">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1.〔一般条件〕</w:t>
      </w:r>
    </w:p>
    <w:p w14:paraId="2F4B085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无下列影响安全履行职责或者因履行职责而加重的疾病或者功能障碍：</w:t>
      </w:r>
    </w:p>
    <w:p w14:paraId="0645B36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（1）先天性或者后天获得性功能及形态异常；</w:t>
      </w:r>
    </w:p>
    <w:p w14:paraId="08B2399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（2）可能导致失能的活动性、隐匿性、急性或者慢性疾病；</w:t>
      </w:r>
    </w:p>
    <w:p w14:paraId="0DC693A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（3）创伤、损伤或者手术后遗症；</w:t>
      </w:r>
    </w:p>
    <w:p w14:paraId="44D5892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（4）使用处方或者非处方药物对身体造成的不良影响；</w:t>
      </w:r>
    </w:p>
    <w:p w14:paraId="11E2CEE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（5）使用或者依赖鸦片、海洛因、甲基苯丙胺（冰毒）、吗啡、大麻、可卡因，以及国家规定管制的其他能够使人形成瘾癖的麻醉药品和精神药品。</w:t>
      </w:r>
    </w:p>
    <w:p w14:paraId="6D9214B4">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eastAsia="zh-CN"/>
        </w:rPr>
        <w:t>2.</w:t>
      </w:r>
      <w:r>
        <w:rPr>
          <w:rFonts w:hint="eastAsia" w:ascii="楷体_GB2312" w:hAnsi="楷体_GB2312" w:eastAsia="楷体_GB2312" w:cs="楷体_GB2312"/>
          <w:color w:val="auto"/>
          <w:sz w:val="32"/>
          <w:szCs w:val="32"/>
          <w:highlight w:val="none"/>
        </w:rPr>
        <w:t>〔精神障碍〕</w:t>
      </w:r>
    </w:p>
    <w:p w14:paraId="0325784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无下列精神障碍的明确病史或者临床诊断：</w:t>
      </w:r>
    </w:p>
    <w:p w14:paraId="220FA22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（1）可能影响安全履行职责的器质性精神障碍；</w:t>
      </w:r>
    </w:p>
    <w:p w14:paraId="10408A8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（2）精神活性物质使用所致障碍；</w:t>
      </w:r>
    </w:p>
    <w:p w14:paraId="332308F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（3）精神分裂症或者其他原发性精神病性障碍；      </w:t>
      </w:r>
    </w:p>
    <w:p w14:paraId="71353B1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（4）双相障碍；</w:t>
      </w:r>
    </w:p>
    <w:p w14:paraId="61197E4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（5）可能影响安全履行职责的抑郁障碍；</w:t>
      </w:r>
    </w:p>
    <w:p w14:paraId="01510BD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（6）可能影响安全履行职责的焦虑障碍；</w:t>
      </w:r>
    </w:p>
    <w:p w14:paraId="76AF20F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（7）强迫及相关障碍；</w:t>
      </w:r>
    </w:p>
    <w:p w14:paraId="566E2D8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（8）可能影响安全履行职责的创伤及应激相关障碍；</w:t>
      </w:r>
    </w:p>
    <w:p w14:paraId="4A6334F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（9）分离障碍；</w:t>
      </w:r>
    </w:p>
    <w:p w14:paraId="7AEE295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（10）躯体症状及相关障碍；</w:t>
      </w:r>
    </w:p>
    <w:p w14:paraId="17B2088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（11）进食与喂养障碍；</w:t>
      </w:r>
    </w:p>
    <w:p w14:paraId="52B745B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（12）可能影响安全履行职责的睡眠障碍；</w:t>
      </w:r>
    </w:p>
    <w:p w14:paraId="2E9D2B2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（13）成人人格和行为障碍；</w:t>
      </w:r>
    </w:p>
    <w:p w14:paraId="7C10B2E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（14）神经发育障碍；</w:t>
      </w:r>
    </w:p>
    <w:p w14:paraId="6E6E579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（15）通常起病于儿童少年的行为和情绪障碍；</w:t>
      </w:r>
    </w:p>
    <w:p w14:paraId="7BF744E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（16）成瘾行为所致障碍。  </w:t>
      </w:r>
      <w:r>
        <w:rPr>
          <w:rFonts w:hint="eastAsia" w:ascii="方正小标宋简体" w:hAnsi="方正小标宋简体" w:eastAsia="方正小标宋简体" w:cs="方正小标宋简体"/>
          <w:color w:val="auto"/>
          <w:sz w:val="32"/>
          <w:szCs w:val="32"/>
          <w:highlight w:val="none"/>
        </w:rPr>
        <w:t xml:space="preserve">                                                         </w:t>
      </w:r>
    </w:p>
    <w:p w14:paraId="57435AB2">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3.〔神经系统〕</w:t>
      </w:r>
    </w:p>
    <w:p w14:paraId="3D6D0FC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无下列神经系统疾病的明确病史或者临床诊断：</w:t>
      </w:r>
    </w:p>
    <w:p w14:paraId="055827A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（1）癫痫；</w:t>
      </w:r>
    </w:p>
    <w:p w14:paraId="09D65B8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（2）原因不明或者难以预防的意识障碍；</w:t>
      </w:r>
    </w:p>
    <w:p w14:paraId="4B2BD30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（3）可能影响安全履行职责的颅脑损伤及其并发症；</w:t>
      </w:r>
    </w:p>
    <w:p w14:paraId="0AFCDF1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（4）其他可能影响安全履行职责的神经系统疾病或者手术后遗症。</w:t>
      </w:r>
    </w:p>
    <w:p w14:paraId="04A53578">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4.〔循环系统〕</w:t>
      </w:r>
    </w:p>
    <w:p w14:paraId="2CC79AF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无下列循环系统疾病的明确病史或者临床诊断：</w:t>
      </w:r>
    </w:p>
    <w:p w14:paraId="346F674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（1）可能影响安全履行职责的冠心病； </w:t>
      </w:r>
    </w:p>
    <w:p w14:paraId="6F4A704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（2）可能影响安全履行职责的心律失常；</w:t>
      </w:r>
    </w:p>
    <w:p w14:paraId="42CBFED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（3）可能影响安全履行职责的心脏瓣膜疾病；</w:t>
      </w:r>
    </w:p>
    <w:p w14:paraId="563236F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（4）收缩压和/或舒张压持续高于155/95mmHg，或者伴有症状的低血压； </w:t>
      </w:r>
    </w:p>
    <w:p w14:paraId="7D560F9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（5）其他可能影响安全履行职责的循环系统疾病或者手术后遗症。</w:t>
      </w:r>
    </w:p>
    <w:p w14:paraId="4302EF6D">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5.〔呼吸系统〕</w:t>
      </w:r>
    </w:p>
    <w:p w14:paraId="6108EE4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无下列呼吸系统疾病或者临床诊断：</w:t>
      </w:r>
    </w:p>
    <w:p w14:paraId="66D40F1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（1）活动性肺结核；</w:t>
      </w:r>
    </w:p>
    <w:p w14:paraId="5214602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（2）气胸；</w:t>
      </w:r>
    </w:p>
    <w:p w14:paraId="2C53870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（3）可能影响安全履行职责的肺、纵隔或者胸膜的活动性疾病；</w:t>
      </w:r>
    </w:p>
    <w:p w14:paraId="0D76D23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（4）可能影响安全履行职责的慢性阻塞性肺疾病或者支气管哮喘；</w:t>
      </w:r>
    </w:p>
    <w:p w14:paraId="051F249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（5）其他可能影响安全履行职责的纵隔及胸壁疾病、畸形或者手术后遗症；</w:t>
      </w:r>
    </w:p>
    <w:p w14:paraId="7DAE668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（6）其他可能影响安全履行职责的呼吸系统疾病或者手术后遗症。 </w:t>
      </w:r>
    </w:p>
    <w:p w14:paraId="53160470">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6.〔消化系统〕</w:t>
      </w:r>
    </w:p>
    <w:p w14:paraId="68E7479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无下列消化系统疾病或者临床诊断：</w:t>
      </w:r>
    </w:p>
    <w:p w14:paraId="28AEF44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（1）可能影响安全履行职责的肝硬化； </w:t>
      </w:r>
    </w:p>
    <w:p w14:paraId="1D893253">
      <w:pPr>
        <w:ind w:firstLine="640" w:firstLineChars="200"/>
        <w:rPr>
          <w:rFonts w:hint="eastAsia" w:ascii="仿宋_GB2312" w:hAnsi="仿宋_GB2312" w:eastAsia="仿宋_GB2312" w:cs="仿宋_GB2312"/>
          <w:strike/>
          <w:color w:val="auto"/>
          <w:sz w:val="32"/>
          <w:szCs w:val="32"/>
          <w:highlight w:val="none"/>
        </w:rPr>
      </w:pPr>
      <w:r>
        <w:rPr>
          <w:rFonts w:hint="eastAsia" w:ascii="仿宋_GB2312" w:hAnsi="仿宋_GB2312" w:eastAsia="仿宋_GB2312" w:cs="仿宋_GB2312"/>
          <w:color w:val="auto"/>
          <w:sz w:val="32"/>
          <w:szCs w:val="32"/>
          <w:highlight w:val="none"/>
        </w:rPr>
        <w:t>（2）可能影响安全履行职责的疝；</w:t>
      </w:r>
    </w:p>
    <w:p w14:paraId="290D0FA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 xml:space="preserve">）可能影响安全履行职责的胆道系统结石； </w:t>
      </w:r>
    </w:p>
    <w:p w14:paraId="3A7277D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）其他可能影响安全履行职责的消化系统疾病或者手术后遗症。</w:t>
      </w:r>
    </w:p>
    <w:p w14:paraId="428DF6F7">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7.〔传染病〕</w:t>
      </w:r>
    </w:p>
    <w:p w14:paraId="577C813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无下列传染病或者临床诊断：</w:t>
      </w:r>
    </w:p>
    <w:p w14:paraId="37FD005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（1）病毒性肝炎； </w:t>
      </w:r>
    </w:p>
    <w:p w14:paraId="7308730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（2）梅毒；</w:t>
      </w:r>
    </w:p>
    <w:p w14:paraId="52A2AFB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（3）获得性免疫缺陷综合征（AIDS）；</w:t>
      </w:r>
    </w:p>
    <w:p w14:paraId="0F6A565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（4）人类免疫缺陷病毒（HIV）抗体阳性；</w:t>
      </w:r>
    </w:p>
    <w:p w14:paraId="564A62F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（5）其他可能影响安全履行职责的传染性疾病。</w:t>
      </w:r>
    </w:p>
    <w:p w14:paraId="5703F1FF">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8.〔代谢、免疫和内分泌系统〕</w:t>
      </w:r>
    </w:p>
    <w:p w14:paraId="50CA380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无下列代谢、免疫和内分泌系统疾病：</w:t>
      </w:r>
    </w:p>
    <w:p w14:paraId="00AB397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（1）使用胰岛素控制的糖尿病；</w:t>
      </w:r>
    </w:p>
    <w:p w14:paraId="5A0F24E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（2）使用可能影响安全履行职责的药物控制的糖尿病；</w:t>
      </w:r>
    </w:p>
    <w:p w14:paraId="6C0DAC4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（3）其他可能影响安全履行职责的代谢、免疫和内分泌系统疾病或者手术后遗症。</w:t>
      </w:r>
    </w:p>
    <w:p w14:paraId="6B535CBF">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9.〔血液系统〕</w:t>
      </w:r>
    </w:p>
    <w:p w14:paraId="442FEBA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无可能影响安全履行职责的血液系统疾病。</w:t>
      </w:r>
    </w:p>
    <w:p w14:paraId="27CB7D1B">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10.〔泌尿生殖系统〕</w:t>
      </w:r>
    </w:p>
    <w:p w14:paraId="6488FF2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无下列泌尿生殖系统疾病或者临床诊断：</w:t>
      </w:r>
    </w:p>
    <w:p w14:paraId="4671739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（1）可能影响安全履行职责的泌尿系统结石；</w:t>
      </w:r>
    </w:p>
    <w:p w14:paraId="6F8852C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（2）其他可能影响安全履行职责的泌尿生殖系统疾病或者手术后遗症。</w:t>
      </w:r>
    </w:p>
    <w:p w14:paraId="6AA6224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w:t>
      </w:r>
      <w:r>
        <w:rPr>
          <w:rFonts w:hint="eastAsia" w:ascii="楷体_GB2312" w:hAnsi="楷体_GB2312" w:eastAsia="楷体_GB2312" w:cs="楷体_GB2312"/>
          <w:color w:val="auto"/>
          <w:sz w:val="32"/>
          <w:szCs w:val="32"/>
          <w:highlight w:val="none"/>
        </w:rPr>
        <w:t>妊娠</w:t>
      </w:r>
      <w:r>
        <w:rPr>
          <w:rFonts w:hint="eastAsia" w:ascii="仿宋_GB2312" w:hAnsi="仿宋_GB2312" w:eastAsia="仿宋_GB2312" w:cs="仿宋_GB2312"/>
          <w:color w:val="auto"/>
          <w:sz w:val="32"/>
          <w:szCs w:val="32"/>
          <w:highlight w:val="none"/>
        </w:rPr>
        <w:t>〕</w:t>
      </w:r>
    </w:p>
    <w:p w14:paraId="54C30C9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无可能影响安全履行职责的妊娠。</w:t>
      </w:r>
    </w:p>
    <w:p w14:paraId="3FCF2109">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12.〔运动系统〕</w:t>
      </w:r>
    </w:p>
    <w:p w14:paraId="149538E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（1）身高、体重等身体条件应当满足安全履行职责的需要；</w:t>
      </w:r>
    </w:p>
    <w:p w14:paraId="11EF99C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（2）无可能影响安全履行职责的运动系统疾病或者手术后遗症。</w:t>
      </w:r>
    </w:p>
    <w:p w14:paraId="00A4985F">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13.〔皮肤及其附属器〕</w:t>
      </w:r>
    </w:p>
    <w:p w14:paraId="3F0736A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无可能影响安全履行职责的皮肤及其附属器疾病或者手术后遗症。</w:t>
      </w:r>
    </w:p>
    <w:p w14:paraId="743B6E47">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14.〔耳、鼻、咽、喉及口腔〕</w:t>
      </w:r>
    </w:p>
    <w:p w14:paraId="7A53DDC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无下列耳、鼻、咽、喉、口腔疾病或者功能障碍：</w:t>
      </w:r>
    </w:p>
    <w:p w14:paraId="12E20D4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（1）前庭功能障碍；</w:t>
      </w:r>
    </w:p>
    <w:p w14:paraId="2CB5EF4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（2）可能影响安全履行职责的言语功能障碍；</w:t>
      </w:r>
    </w:p>
    <w:p w14:paraId="62ABC36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（3）可能影响安全履行职责的阻塞性睡眠呼吸暂停； </w:t>
      </w:r>
    </w:p>
    <w:p w14:paraId="0B4D3ECB">
      <w:pPr>
        <w:ind w:firstLine="640" w:firstLineChars="200"/>
        <w:rPr>
          <w:rFonts w:hint="eastAsia" w:ascii="方正小标宋简体" w:hAnsi="方正小标宋简体" w:eastAsia="方正小标宋简体" w:cs="方正小标宋简体"/>
          <w:color w:val="auto"/>
          <w:sz w:val="32"/>
          <w:szCs w:val="32"/>
          <w:highlight w:val="none"/>
        </w:rPr>
      </w:pPr>
      <w:r>
        <w:rPr>
          <w:rFonts w:hint="eastAsia" w:ascii="仿宋_GB2312" w:hAnsi="仿宋_GB2312" w:eastAsia="仿宋_GB2312" w:cs="仿宋_GB2312"/>
          <w:color w:val="auto"/>
          <w:sz w:val="32"/>
          <w:szCs w:val="32"/>
          <w:highlight w:val="none"/>
        </w:rPr>
        <w:t xml:space="preserve">（4）其他可能影响安全履行职责的耳、鼻、咽、喉、口腔疾病或者功能障碍。        </w:t>
      </w:r>
      <w:r>
        <w:rPr>
          <w:rFonts w:hint="eastAsia" w:ascii="方正小标宋简体" w:hAnsi="方正小标宋简体" w:eastAsia="方正小标宋简体" w:cs="方正小标宋简体"/>
          <w:color w:val="auto"/>
          <w:sz w:val="32"/>
          <w:szCs w:val="32"/>
          <w:highlight w:val="none"/>
        </w:rPr>
        <w:t xml:space="preserve">                                         </w:t>
      </w:r>
    </w:p>
    <w:p w14:paraId="3C2E54AE">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15.〔听力〕</w:t>
      </w:r>
    </w:p>
    <w:p w14:paraId="1907B32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
        </w:rPr>
        <w:t>a</w:t>
      </w:r>
      <w:r>
        <w:rPr>
          <w:rFonts w:hint="eastAsia" w:ascii="仿宋_GB2312" w:hAnsi="仿宋_GB2312" w:eastAsia="仿宋_GB2312" w:cs="仿宋_GB2312"/>
          <w:color w:val="auto"/>
          <w:sz w:val="32"/>
          <w:szCs w:val="32"/>
          <w:highlight w:val="none"/>
        </w:rPr>
        <w:t>）进行纯音听阈测试时，每耳在500、1000和2000赫兹（Hz）的任一频率上的听力损失不超过35分贝（dB HL）；在3000赫兹（Hz）频率上的听力损失不超过50分贝（dB HL）。如果申请人的听力损失超过上述值，应当同时通过听力实际能力测试和背离试验。</w:t>
      </w:r>
    </w:p>
    <w:p w14:paraId="04FFD824">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（b）无须进行纯音听阈测试时，应当进行背离试验和耳语检查：</w:t>
      </w:r>
    </w:p>
    <w:p w14:paraId="3B623617">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（1）同时通过可合格；</w:t>
      </w:r>
    </w:p>
    <w:p w14:paraId="4BF6F975">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（2）背离试验未通过不合格；</w:t>
      </w:r>
    </w:p>
    <w:p w14:paraId="7033B680">
      <w:pPr>
        <w:ind w:firstLine="640" w:firstLineChars="200"/>
        <w:rPr>
          <w:rFonts w:hint="eastAsia" w:ascii="楷体_GB2312" w:hAnsi="楷体_GB2312" w:eastAsia="楷体_GB2312" w:cs="楷体_GB2312"/>
          <w:color w:val="auto"/>
          <w:sz w:val="32"/>
          <w:szCs w:val="32"/>
          <w:highlight w:val="none"/>
        </w:rPr>
      </w:pPr>
      <w:r>
        <w:rPr>
          <w:rFonts w:hint="eastAsia" w:ascii="仿宋_GB2312" w:hAnsi="仿宋_GB2312" w:eastAsia="仿宋_GB2312" w:cs="仿宋_GB2312"/>
          <w:color w:val="auto"/>
          <w:sz w:val="32"/>
          <w:szCs w:val="32"/>
          <w:highlight w:val="none"/>
          <w:lang w:eastAsia="zh"/>
        </w:rPr>
        <w:t>（3）仅耳语检查未通过，</w:t>
      </w:r>
      <w:r>
        <w:rPr>
          <w:rFonts w:hint="eastAsia" w:ascii="仿宋_GB2312" w:hAnsi="仿宋_GB2312" w:eastAsia="仿宋_GB2312" w:cs="仿宋_GB2312"/>
          <w:color w:val="auto"/>
          <w:sz w:val="32"/>
          <w:szCs w:val="32"/>
          <w:highlight w:val="none"/>
          <w:lang w:val="en-US" w:eastAsia="zh-CN"/>
        </w:rPr>
        <w:t>应当满足本条（a）款的听力要求。</w:t>
      </w:r>
    </w:p>
    <w:p w14:paraId="3CD124C4">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16.〔眼及其附属器〕</w:t>
      </w:r>
    </w:p>
    <w:p w14:paraId="5B35197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无下列眼及其附属器的疾病或者功能障碍：</w:t>
      </w:r>
    </w:p>
    <w:p w14:paraId="5C71296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（1）视野异常；</w:t>
      </w:r>
    </w:p>
    <w:p w14:paraId="0D34FBC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（2）色盲或者可能影响安全履行职责的色弱；</w:t>
      </w:r>
    </w:p>
    <w:p w14:paraId="6BD0782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（3）夜盲；</w:t>
      </w:r>
    </w:p>
    <w:p w14:paraId="71CFB4E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（4）可能影响安全履行职责的双眼视功能异常；</w:t>
      </w:r>
    </w:p>
    <w:p w14:paraId="447C687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（5）其他可能影响安全履行职责的眼及其附属器的疾病、手术或者创伤后遗症。</w:t>
      </w:r>
    </w:p>
    <w:p w14:paraId="499ED6A2">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17.〔视力〕</w:t>
      </w:r>
    </w:p>
    <w:p w14:paraId="0AD04E4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17.1〔</w:t>
      </w:r>
      <w:r>
        <w:rPr>
          <w:rFonts w:hint="eastAsia" w:ascii="楷体_GB2312" w:hAnsi="楷体_GB2312" w:eastAsia="楷体_GB2312" w:cs="楷体_GB2312"/>
          <w:color w:val="auto"/>
          <w:sz w:val="32"/>
          <w:szCs w:val="32"/>
          <w:highlight w:val="none"/>
        </w:rPr>
        <w:t>远视力</w:t>
      </w:r>
      <w:r>
        <w:rPr>
          <w:rFonts w:hint="eastAsia" w:ascii="仿宋_GB2312" w:hAnsi="仿宋_GB2312" w:eastAsia="仿宋_GB2312" w:cs="仿宋_GB2312"/>
          <w:color w:val="auto"/>
          <w:sz w:val="32"/>
          <w:szCs w:val="32"/>
          <w:highlight w:val="none"/>
        </w:rPr>
        <w:t>〕</w:t>
      </w:r>
    </w:p>
    <w:p w14:paraId="50D4DE8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（a）每眼矫正或者未矫正的远视力应当达到0.7或者以上，双眼远视力应当达到1.0或者以上。对未矫正视力和屈光度无限制。如果仅在使用矫正镜才能达到以上规定时，应当同时满足下列条件方可合格：</w:t>
      </w:r>
    </w:p>
    <w:p w14:paraId="03D2026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（1）在履行职责期间，必须佩戴矫正镜；</w:t>
      </w:r>
    </w:p>
    <w:p w14:paraId="5EA4560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（2）在履行职责期间，备有一副随时可取用的、与所戴矫正镜度数相同的备份矫正镜。</w:t>
      </w:r>
    </w:p>
    <w:p w14:paraId="032BCAF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（b）为满足本条（a）款的要求，申请人可以使用接触镜，但应当同时满足下列条件：</w:t>
      </w:r>
    </w:p>
    <w:p w14:paraId="63C41B0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（1）接触镜的镜片是单焦点、无色的；</w:t>
      </w:r>
    </w:p>
    <w:p w14:paraId="59E8687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（2）镜片佩戴舒适；</w:t>
      </w:r>
    </w:p>
    <w:p w14:paraId="2209426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（3）在履行职责期间，应当备有一副随时可取用的、与所戴矫正镜度数相同的备份普通矫正镜。                          </w:t>
      </w:r>
    </w:p>
    <w:p w14:paraId="3693548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（c）高度屈光不正应当使用接触镜或者高性能普通眼镜。</w:t>
      </w:r>
    </w:p>
    <w:p w14:paraId="6337FBC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（d）任何一眼未矫正远视力低于0.1，应当对眼及其附属器进行全面检查。</w:t>
      </w:r>
    </w:p>
    <w:p w14:paraId="4EAE436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（e）任何一眼有影响安全履行职责的改变眼屈光状态的手术后遗症不合格。</w:t>
      </w:r>
    </w:p>
    <w:p w14:paraId="60C3505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17.2〔</w:t>
      </w:r>
      <w:r>
        <w:rPr>
          <w:rFonts w:hint="eastAsia" w:ascii="楷体_GB2312" w:hAnsi="楷体_GB2312" w:eastAsia="楷体_GB2312" w:cs="楷体_GB2312"/>
          <w:color w:val="auto"/>
          <w:sz w:val="32"/>
          <w:szCs w:val="32"/>
          <w:highlight w:val="none"/>
        </w:rPr>
        <w:t>近视力和中间视力</w:t>
      </w:r>
      <w:r>
        <w:rPr>
          <w:rFonts w:hint="eastAsia" w:ascii="仿宋_GB2312" w:hAnsi="仿宋_GB2312" w:eastAsia="仿宋_GB2312" w:cs="仿宋_GB2312"/>
          <w:color w:val="auto"/>
          <w:sz w:val="32"/>
          <w:szCs w:val="32"/>
          <w:highlight w:val="none"/>
        </w:rPr>
        <w:t>〕</w:t>
      </w:r>
    </w:p>
    <w:p w14:paraId="5AD348C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每眼矫正或者未矫正的近视力在30-50厘米的距离范围内应当达到0.5或者以上，中间视力在100厘米的距离应当达到0.25或者以上。如果仅在使用矫正镜才能达到以上规定时，应当同时满足下列条件方可合格：</w:t>
      </w:r>
    </w:p>
    <w:p w14:paraId="3F5A1AB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（1）在履行职责期间，备有一副随时可取用的矫正镜；</w:t>
      </w:r>
    </w:p>
    <w:p w14:paraId="4E21F29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（2）矫正镜必须能同时满足17.1和本条视力的要求，不得使用单一矫正近视力的矫正镜。</w:t>
      </w:r>
    </w:p>
    <w:p w14:paraId="0D07FDC4">
      <w:pPr>
        <w:rPr>
          <w:rFonts w:hint="eastAsia" w:ascii="方正小标宋简体" w:hAnsi="方正小标宋简体" w:eastAsia="方正小标宋简体" w:cs="方正小标宋简体"/>
          <w:color w:val="auto"/>
          <w:sz w:val="32"/>
          <w:szCs w:val="32"/>
          <w:highlight w:val="none"/>
        </w:rPr>
      </w:pPr>
    </w:p>
    <w:p w14:paraId="097813B1">
      <w:pPr>
        <w:jc w:val="center"/>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第四章 Ⅳ级体检合格证的医学标准</w:t>
      </w:r>
    </w:p>
    <w:p w14:paraId="50B0852C">
      <w:pPr>
        <w:rPr>
          <w:rFonts w:hint="eastAsia" w:ascii="方正小标宋简体" w:hAnsi="方正小标宋简体" w:eastAsia="方正小标宋简体" w:cs="方正小标宋简体"/>
          <w:color w:val="auto"/>
          <w:sz w:val="32"/>
          <w:szCs w:val="32"/>
          <w:highlight w:val="none"/>
        </w:rPr>
      </w:pPr>
    </w:p>
    <w:p w14:paraId="1869AD5C">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1.〔一般条件〕</w:t>
      </w:r>
    </w:p>
    <w:p w14:paraId="7A5ABCB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无下列影响安全履行职责或者因履行职责而加重的疾病或者功能障碍：</w:t>
      </w:r>
    </w:p>
    <w:p w14:paraId="43A6207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（1）先天性或者后天获得性功能及形态异常；</w:t>
      </w:r>
    </w:p>
    <w:p w14:paraId="7A16291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（2）可能导致失能的活动性、隐匿性、急性或者慢性疾病；</w:t>
      </w:r>
    </w:p>
    <w:p w14:paraId="20F4823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（3）创伤、损伤或者手术后遗症；</w:t>
      </w:r>
    </w:p>
    <w:p w14:paraId="2645FFF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（4）使用处方或者非处方药物对身体造成的不良影响；</w:t>
      </w:r>
    </w:p>
    <w:p w14:paraId="7FFD512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（5）使用或者依赖鸦片、海洛因、甲基苯丙胺（冰毒）、吗啡、大麻、可卡因，以及国家规定管制的其他能够使人形成瘾癖的麻醉药品和精神药品。</w:t>
      </w:r>
    </w:p>
    <w:p w14:paraId="49E85E6A">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eastAsia="zh-CN"/>
        </w:rPr>
        <w:t>2.</w:t>
      </w:r>
      <w:r>
        <w:rPr>
          <w:rFonts w:hint="eastAsia" w:ascii="楷体_GB2312" w:hAnsi="楷体_GB2312" w:eastAsia="楷体_GB2312" w:cs="楷体_GB2312"/>
          <w:color w:val="auto"/>
          <w:sz w:val="32"/>
          <w:szCs w:val="32"/>
          <w:highlight w:val="none"/>
        </w:rPr>
        <w:t>〔精神障碍〕</w:t>
      </w:r>
    </w:p>
    <w:p w14:paraId="6B39F20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无下列精神障碍的明确病史或者临床诊断：</w:t>
      </w:r>
    </w:p>
    <w:p w14:paraId="47BAEBF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（1）可能影响安全履行职责的器质性精神障碍；</w:t>
      </w:r>
    </w:p>
    <w:p w14:paraId="03BD548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（2）精神活性物质使用所致障碍；</w:t>
      </w:r>
    </w:p>
    <w:p w14:paraId="6488DA2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（3）精神分裂症或者其他原发性精神病性障碍；      </w:t>
      </w:r>
    </w:p>
    <w:p w14:paraId="25760A5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（4）双相障碍；</w:t>
      </w:r>
    </w:p>
    <w:p w14:paraId="302AA65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（5）可能影响安全履行职责的抑郁障碍；</w:t>
      </w:r>
    </w:p>
    <w:p w14:paraId="6842BBD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（6）可能影响安全履行职责的焦虑障碍；</w:t>
      </w:r>
    </w:p>
    <w:p w14:paraId="0040E59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（7）强迫及相关障碍；</w:t>
      </w:r>
    </w:p>
    <w:p w14:paraId="1920F2F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（8）可能影响安全履行职责的创伤及应激相关障碍；</w:t>
      </w:r>
    </w:p>
    <w:p w14:paraId="5830BB9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（9）分离障碍；</w:t>
      </w:r>
    </w:p>
    <w:p w14:paraId="1E341C6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（10）躯体症状及相关障碍；</w:t>
      </w:r>
    </w:p>
    <w:p w14:paraId="31DBFAC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（11）进食与喂养障碍；</w:t>
      </w:r>
    </w:p>
    <w:p w14:paraId="139DE7B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（12）可能影响安全履行职责的睡眠障碍；</w:t>
      </w:r>
    </w:p>
    <w:p w14:paraId="0747136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（13）成人人格和行为障碍；</w:t>
      </w:r>
    </w:p>
    <w:p w14:paraId="7E2BB19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（14）神经发育障碍；</w:t>
      </w:r>
    </w:p>
    <w:p w14:paraId="6E3A301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（15）通常起病于儿童少年的行为和情绪障碍；                                                           </w:t>
      </w:r>
    </w:p>
    <w:p w14:paraId="56C17B58">
      <w:pPr>
        <w:ind w:firstLine="640" w:firstLineChars="200"/>
        <w:rPr>
          <w:rFonts w:hint="eastAsia" w:ascii="方正小标宋简体" w:hAnsi="方正小标宋简体" w:eastAsia="方正小标宋简体" w:cs="方正小标宋简体"/>
          <w:color w:val="auto"/>
          <w:sz w:val="32"/>
          <w:szCs w:val="32"/>
          <w:highlight w:val="none"/>
        </w:rPr>
      </w:pPr>
      <w:r>
        <w:rPr>
          <w:rFonts w:hint="eastAsia" w:ascii="仿宋_GB2312" w:hAnsi="仿宋_GB2312" w:eastAsia="仿宋_GB2312" w:cs="仿宋_GB2312"/>
          <w:color w:val="auto"/>
          <w:sz w:val="32"/>
          <w:szCs w:val="32"/>
          <w:highlight w:val="none"/>
        </w:rPr>
        <w:t>（16）成瘾行为所致障碍。</w:t>
      </w:r>
    </w:p>
    <w:p w14:paraId="537B33D6">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3.〔神经系统〕</w:t>
      </w:r>
    </w:p>
    <w:p w14:paraId="540EADD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无下列神经系统疾病的明确病史或者临床诊断：</w:t>
      </w:r>
    </w:p>
    <w:p w14:paraId="3D625B1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（1）癫痫；</w:t>
      </w:r>
    </w:p>
    <w:p w14:paraId="639AF4F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（2）原因不明或者难以预防的意识障碍；</w:t>
      </w:r>
    </w:p>
    <w:p w14:paraId="66CAC33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（3）可能影响安全履行职责的颅脑损伤及其并发症；</w:t>
      </w:r>
    </w:p>
    <w:p w14:paraId="7C43E20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（4）其他可能影响安全履行职责的神经系统疾病或者手术后遗症。</w:t>
      </w:r>
    </w:p>
    <w:p w14:paraId="75C6EFC9">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4.〔循环系统〕</w:t>
      </w:r>
    </w:p>
    <w:p w14:paraId="77EBC3E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无下列循环系统疾病的明确病史或者临床诊断：</w:t>
      </w:r>
    </w:p>
    <w:p w14:paraId="604C303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（1）可能影响安全履行职责的冠心病；</w:t>
      </w:r>
    </w:p>
    <w:p w14:paraId="2935AD8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（2）可能影响安全履行职责的心律失常；</w:t>
      </w:r>
    </w:p>
    <w:p w14:paraId="4579771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（3）可能影响安全履行职责</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心脏瓣膜疾病；</w:t>
      </w:r>
    </w:p>
    <w:p w14:paraId="4821CB3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（4）收缩压和/或舒张压持续高于155/95mmHg，或者伴有症状的低血压； </w:t>
      </w:r>
    </w:p>
    <w:p w14:paraId="69386D7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（5）其他可能影响安全履行职责的循环系统疾病或者手术后遗症。</w:t>
      </w:r>
    </w:p>
    <w:p w14:paraId="2761D778">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5.〔呼吸系统〕</w:t>
      </w:r>
    </w:p>
    <w:p w14:paraId="0FB720B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无下列呼吸系统疾病或者临床诊断：</w:t>
      </w:r>
    </w:p>
    <w:p w14:paraId="1D085BA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（1）活动性肺结核；</w:t>
      </w:r>
    </w:p>
    <w:p w14:paraId="528B817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（2）气胸；</w:t>
      </w:r>
    </w:p>
    <w:p w14:paraId="0F9C8C1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（3）可能影响安全履行职责的肺、纵隔或者胸膜的活动性疾病；</w:t>
      </w:r>
    </w:p>
    <w:p w14:paraId="3F10520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（4）可能影响安全履行职责的慢性阻塞性肺疾病或者支气管哮喘；</w:t>
      </w:r>
    </w:p>
    <w:p w14:paraId="5BD3E81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（5）其他可能影响安全履行职责的纵隔及胸壁疾病、畸形或者手术后遗症；</w:t>
      </w:r>
    </w:p>
    <w:p w14:paraId="1BCC2E7C">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（6）其他可能影响安全履行职责的呼吸系统疾病或者手术后遗症。 </w:t>
      </w:r>
    </w:p>
    <w:p w14:paraId="7D095FBC">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6.〔消化系统〕</w:t>
      </w:r>
    </w:p>
    <w:p w14:paraId="2F3FFF4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无下列消化系统疾病或者临床诊断：</w:t>
      </w:r>
    </w:p>
    <w:p w14:paraId="1B8968A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（1）可能影响安全履行职责的肝硬化；</w:t>
      </w:r>
    </w:p>
    <w:p w14:paraId="0614AA2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（2）可能影响安全履行职责的疝；</w:t>
      </w:r>
    </w:p>
    <w:p w14:paraId="43BDAA03">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 xml:space="preserve">）可能影响安全履行职责的胆道系统结石； </w:t>
      </w:r>
    </w:p>
    <w:p w14:paraId="025299F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）其他可能影响安全履行职责的消化系统疾病或者手术后遗症。</w:t>
      </w:r>
    </w:p>
    <w:p w14:paraId="7DCAD3FC">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7.〔传染病〕</w:t>
      </w:r>
    </w:p>
    <w:p w14:paraId="517F966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无下列传染病或者临床诊断：</w:t>
      </w:r>
    </w:p>
    <w:p w14:paraId="24E3935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（1）病毒性肝炎；</w:t>
      </w:r>
    </w:p>
    <w:p w14:paraId="3B009C3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（2）梅毒；</w:t>
      </w:r>
    </w:p>
    <w:p w14:paraId="6C98442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（3）获得性免疫缺陷综合征（AIDS）；</w:t>
      </w:r>
    </w:p>
    <w:p w14:paraId="4D27CBA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（4）痢疾；</w:t>
      </w:r>
    </w:p>
    <w:p w14:paraId="7750EDB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（5）伤寒；</w:t>
      </w:r>
    </w:p>
    <w:p w14:paraId="1E738EA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（6）人类免疫缺陷病毒（HIV）抗体阳性；</w:t>
      </w:r>
    </w:p>
    <w:p w14:paraId="15B850A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（7）其他可能影响安全履行职责或者他人健康的传染性疾病。</w:t>
      </w:r>
    </w:p>
    <w:p w14:paraId="76AB02AE">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8.〔代谢、免疫和内分泌系统〕</w:t>
      </w:r>
    </w:p>
    <w:p w14:paraId="5BD1D73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无下列代谢、免疫和内分泌系统疾病：</w:t>
      </w:r>
    </w:p>
    <w:p w14:paraId="2E2E81F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（1）使用胰岛素控制的糖尿病；</w:t>
      </w:r>
    </w:p>
    <w:p w14:paraId="3FC82914">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（2）使用可能影响安全履行职责的药物控制的糖尿病；</w:t>
      </w:r>
    </w:p>
    <w:p w14:paraId="20C747A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（3）其他可能影响安全履行职责的代谢、免疫和内分泌系统疾病或者手术后遗症。</w:t>
      </w:r>
    </w:p>
    <w:p w14:paraId="341DE970">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9.〔血液系统〕</w:t>
      </w:r>
    </w:p>
    <w:p w14:paraId="6448FF8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无可能影响安全履行职责的血液系统疾病。</w:t>
      </w:r>
    </w:p>
    <w:p w14:paraId="2DEBD16D">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10.〔泌尿生殖系统〕</w:t>
      </w:r>
    </w:p>
    <w:p w14:paraId="0EE8E5A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无下列泌尿生殖系统疾病或者临床诊断：</w:t>
      </w:r>
    </w:p>
    <w:p w14:paraId="78E14A7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（1）可能影响安全履行职责的泌尿系统结石；</w:t>
      </w:r>
    </w:p>
    <w:p w14:paraId="54378C4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（2）其他可能影响安全履行职责的泌尿生殖系统疾病或者手术后遗症。</w:t>
      </w:r>
    </w:p>
    <w:p w14:paraId="7C6B154C">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11.〔妊娠〕</w:t>
      </w:r>
    </w:p>
    <w:p w14:paraId="6ED7BE76">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妊娠期内不合格。</w:t>
      </w:r>
    </w:p>
    <w:p w14:paraId="1D5EF0DA">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12.〔运动系统〕</w:t>
      </w:r>
    </w:p>
    <w:p w14:paraId="5704E3E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（1）身高、体重等身体条件应当满足安全履行职责的需要；</w:t>
      </w:r>
    </w:p>
    <w:p w14:paraId="745CC3B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（2）无可能影响安全履行职责的运动系统疾病或者手术后遗症。</w:t>
      </w:r>
    </w:p>
    <w:p w14:paraId="00B53405">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13.〔皮肤及其附属器〕</w:t>
      </w:r>
    </w:p>
    <w:p w14:paraId="7310684B">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无可能影响安全履行职责的皮肤及其附属器疾病或者手术后遗症。</w:t>
      </w:r>
    </w:p>
    <w:p w14:paraId="6F4B1EFB">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14.〔耳、鼻、咽、喉及口腔〕</w:t>
      </w:r>
    </w:p>
    <w:p w14:paraId="6E3FAD9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无下列耳、鼻、咽、喉、口腔疾病或者功能障碍：</w:t>
      </w:r>
    </w:p>
    <w:p w14:paraId="396190AE">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（1）可能影响安全履行职责的耳气压功能不良；</w:t>
      </w:r>
    </w:p>
    <w:p w14:paraId="1595F86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（2）前庭功能障碍；</w:t>
      </w:r>
    </w:p>
    <w:p w14:paraId="548D61F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（3）可能影响安全履行职责的言语功能障碍；</w:t>
      </w:r>
    </w:p>
    <w:p w14:paraId="4744F148">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（4）其他可能影响安全履行职责的耳、鼻、咽、喉、口腔疾病或者功能障碍。</w:t>
      </w:r>
    </w:p>
    <w:p w14:paraId="1616341E">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15.〔听力〕</w:t>
      </w:r>
    </w:p>
    <w:p w14:paraId="61676940">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
        </w:rPr>
        <w:t>应当通过耳语检查</w:t>
      </w:r>
      <w:r>
        <w:rPr>
          <w:rFonts w:hint="eastAsia" w:ascii="仿宋_GB2312" w:hAnsi="仿宋_GB2312" w:eastAsia="仿宋_GB2312" w:cs="仿宋_GB2312"/>
          <w:color w:val="auto"/>
          <w:sz w:val="32"/>
          <w:szCs w:val="32"/>
          <w:highlight w:val="none"/>
        </w:rPr>
        <w:t>。</w:t>
      </w:r>
    </w:p>
    <w:p w14:paraId="264B001D">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16.〔眼及其附属器〕</w:t>
      </w:r>
    </w:p>
    <w:p w14:paraId="0F9F460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无下列眼及其附属器的疾病或者功能障碍：</w:t>
      </w:r>
    </w:p>
    <w:p w14:paraId="0ADDAA5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（1）可能影响安全履行职责的视野异常；</w:t>
      </w:r>
    </w:p>
    <w:p w14:paraId="3C71A3B5">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（2）色盲；</w:t>
      </w:r>
    </w:p>
    <w:p w14:paraId="641748A1">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（3）夜盲；</w:t>
      </w:r>
    </w:p>
    <w:p w14:paraId="0D2B8F9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（4）其他可能影响安全履行职责的眼及其附属器的疾病、手术或者创伤后遗症。</w:t>
      </w:r>
    </w:p>
    <w:p w14:paraId="73FD3562">
      <w:pPr>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 xml:space="preserve">17.〔视力〕 </w:t>
      </w:r>
    </w:p>
    <w:p w14:paraId="7DD0A392">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取得Ⅳa级体检合格证每眼矫正或者未矫正的远视力应当达到0.5或者以上。</w:t>
      </w:r>
    </w:p>
    <w:p w14:paraId="7FC7737F">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（a</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
        </w:rPr>
        <w:t>如果仅在使用矫正镜才能达到以上规定时，应当同时满足下列条件方可合格：</w:t>
      </w:r>
    </w:p>
    <w:p w14:paraId="080FBF65">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（1）在履行职责期间，必须佩戴矫正镜；</w:t>
      </w:r>
    </w:p>
    <w:p w14:paraId="5983B8AD">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（2）在履行职责期间，备有一副随时可取用的、与所戴矫正镜度数相同的备份矫正镜。</w:t>
      </w:r>
    </w:p>
    <w:p w14:paraId="27C6EBB4">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（b）申请人可以使用接触镜，但应当同时满足下列条件：</w:t>
      </w:r>
    </w:p>
    <w:p w14:paraId="274DD12F">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（1）接触镜的镜片是单焦点、无色的；</w:t>
      </w:r>
    </w:p>
    <w:p w14:paraId="071A3DBB">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（2）镜片佩戴舒适；</w:t>
      </w:r>
    </w:p>
    <w:p w14:paraId="3BBDBFD4">
      <w:pPr>
        <w:ind w:firstLine="640" w:firstLineChars="200"/>
        <w:rPr>
          <w:rFonts w:hint="eastAsia" w:ascii="仿宋_GB2312" w:hAnsi="仿宋_GB2312" w:eastAsia="仿宋_GB2312" w:cs="仿宋_GB2312"/>
          <w:color w:val="auto"/>
          <w:sz w:val="32"/>
          <w:szCs w:val="32"/>
          <w:highlight w:val="none"/>
          <w:lang w:eastAsia="zh"/>
        </w:rPr>
      </w:pPr>
      <w:r>
        <w:rPr>
          <w:rFonts w:hint="eastAsia" w:ascii="仿宋_GB2312" w:hAnsi="仿宋_GB2312" w:eastAsia="仿宋_GB2312" w:cs="仿宋_GB2312"/>
          <w:color w:val="auto"/>
          <w:sz w:val="32"/>
          <w:szCs w:val="32"/>
          <w:highlight w:val="none"/>
          <w:lang w:eastAsia="zh"/>
        </w:rPr>
        <w:t>（3）在履行职责期间，应当备有一副随时可取用的、与所戴矫正镜度数相同的备份普通矫正镜。</w:t>
      </w:r>
    </w:p>
    <w:p w14:paraId="0C378ABA">
      <w:pPr>
        <w:ind w:firstLine="640" w:firstLineChars="200"/>
        <w:rPr>
          <w:rFonts w:hint="eastAsia" w:ascii="方正小标宋简体" w:hAnsi="方正小标宋简体" w:eastAsia="方正小标宋简体" w:cs="方正小标宋简体"/>
          <w:color w:val="auto"/>
          <w:sz w:val="32"/>
          <w:szCs w:val="32"/>
          <w:highlight w:val="none"/>
        </w:rPr>
      </w:pPr>
      <w:r>
        <w:rPr>
          <w:rFonts w:hint="eastAsia" w:ascii="仿宋_GB2312" w:hAnsi="仿宋_GB2312" w:eastAsia="仿宋_GB2312" w:cs="仿宋_GB2312"/>
          <w:color w:val="auto"/>
          <w:sz w:val="32"/>
          <w:szCs w:val="32"/>
          <w:highlight w:val="none"/>
        </w:rPr>
        <w:t>取得Ⅳb级体检合格证每眼裸眼远视力应当达到0.5或者以上。</w:t>
      </w:r>
      <w:bookmarkStart w:id="37" w:name="_GoBack"/>
      <w:bookmarkEnd w:id="37"/>
    </w:p>
    <w:p w14:paraId="37BEE940">
      <w:pPr>
        <w:ind w:firstLine="640" w:firstLineChars="200"/>
        <w:jc w:val="both"/>
        <w:rPr>
          <w:rFonts w:hint="eastAsia" w:ascii="方正小标宋简体" w:hAnsi="方正小标宋简体" w:eastAsia="方正小标宋简体" w:cs="方正小标宋简体"/>
          <w:color w:val="auto"/>
          <w:sz w:val="32"/>
          <w:szCs w:val="32"/>
          <w:highlight w:val="none"/>
          <w:lang w:val="en-US" w:eastAsia="zh-CN"/>
        </w:rPr>
      </w:pPr>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49878B-2E8D-4D25-9005-D0D98C43324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20EE98D8-E362-4728-AB12-DE9DDF0B23D2}"/>
  </w:font>
  <w:font w:name="方正公文小标宋">
    <w:panose1 w:val="02000500000000000000"/>
    <w:charset w:val="86"/>
    <w:family w:val="auto"/>
    <w:pitch w:val="default"/>
    <w:sig w:usb0="A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embedRegular r:id="rId3" w:fontKey="{A6EECED7-06C0-45F2-AE54-DC9D4B71392B}"/>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37D1C">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F594D8">
                          <w:pPr>
                            <w:pStyle w:val="7"/>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I</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7F594D8">
                    <w:pPr>
                      <w:pStyle w:val="7"/>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I</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236A56"/>
    <w:rsid w:val="004A5C2E"/>
    <w:rsid w:val="02DC59B0"/>
    <w:rsid w:val="04714EFC"/>
    <w:rsid w:val="08116E1A"/>
    <w:rsid w:val="09EB05D3"/>
    <w:rsid w:val="0C3152C1"/>
    <w:rsid w:val="0DB33355"/>
    <w:rsid w:val="0EEC7880"/>
    <w:rsid w:val="0F0E3698"/>
    <w:rsid w:val="10B82071"/>
    <w:rsid w:val="11F33019"/>
    <w:rsid w:val="129728D9"/>
    <w:rsid w:val="1AD2194F"/>
    <w:rsid w:val="1CDA2465"/>
    <w:rsid w:val="1FAA189D"/>
    <w:rsid w:val="1FE110D8"/>
    <w:rsid w:val="211C5F4B"/>
    <w:rsid w:val="214A0241"/>
    <w:rsid w:val="22071169"/>
    <w:rsid w:val="230B6B5D"/>
    <w:rsid w:val="26407964"/>
    <w:rsid w:val="26897A00"/>
    <w:rsid w:val="28CD6E8D"/>
    <w:rsid w:val="29A24D0E"/>
    <w:rsid w:val="2E236A56"/>
    <w:rsid w:val="33703209"/>
    <w:rsid w:val="3397101E"/>
    <w:rsid w:val="37FE33DD"/>
    <w:rsid w:val="380B25BB"/>
    <w:rsid w:val="389F393B"/>
    <w:rsid w:val="3A79517B"/>
    <w:rsid w:val="3D441D9E"/>
    <w:rsid w:val="3E274FD0"/>
    <w:rsid w:val="3E5D4663"/>
    <w:rsid w:val="3F7DE366"/>
    <w:rsid w:val="40D75730"/>
    <w:rsid w:val="445E4335"/>
    <w:rsid w:val="4AB50890"/>
    <w:rsid w:val="4B217D5B"/>
    <w:rsid w:val="4B502367"/>
    <w:rsid w:val="4EA169FA"/>
    <w:rsid w:val="4F7E616A"/>
    <w:rsid w:val="4FB8672C"/>
    <w:rsid w:val="540369E1"/>
    <w:rsid w:val="545D65F5"/>
    <w:rsid w:val="54C43174"/>
    <w:rsid w:val="551138CB"/>
    <w:rsid w:val="565060FF"/>
    <w:rsid w:val="58E44BDE"/>
    <w:rsid w:val="5A556541"/>
    <w:rsid w:val="5B4A437A"/>
    <w:rsid w:val="5B980841"/>
    <w:rsid w:val="5CFEB333"/>
    <w:rsid w:val="5D652C62"/>
    <w:rsid w:val="5D721DF2"/>
    <w:rsid w:val="5E0F22F0"/>
    <w:rsid w:val="5EB31E9A"/>
    <w:rsid w:val="5F5F2026"/>
    <w:rsid w:val="5F8435D1"/>
    <w:rsid w:val="5FEF7A9D"/>
    <w:rsid w:val="61041CE0"/>
    <w:rsid w:val="62357DB4"/>
    <w:rsid w:val="6286708B"/>
    <w:rsid w:val="637F3E60"/>
    <w:rsid w:val="665266C2"/>
    <w:rsid w:val="66FC3B8D"/>
    <w:rsid w:val="68507C81"/>
    <w:rsid w:val="6D151A83"/>
    <w:rsid w:val="701E3078"/>
    <w:rsid w:val="72DC25AE"/>
    <w:rsid w:val="74D72451"/>
    <w:rsid w:val="75330480"/>
    <w:rsid w:val="775865FC"/>
    <w:rsid w:val="78EA7F04"/>
    <w:rsid w:val="7BDDF571"/>
    <w:rsid w:val="7DB419D4"/>
    <w:rsid w:val="7E635932"/>
    <w:rsid w:val="A77D7B7B"/>
    <w:rsid w:val="CA77CB2C"/>
    <w:rsid w:val="EFEF9FBF"/>
    <w:rsid w:val="F76DB72F"/>
    <w:rsid w:val="FBFD14A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方正小标宋简体"/>
      <w:sz w:val="32"/>
    </w:rPr>
  </w:style>
  <w:style w:type="paragraph" w:styleId="3">
    <w:name w:val="heading 3"/>
    <w:basedOn w:val="1"/>
    <w:next w:val="1"/>
    <w:link w:val="14"/>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rPr>
      <w:rFonts w:ascii="Arial" w:hAnsi="Arial" w:eastAsia="Arial" w:cs="Arial"/>
      <w:sz w:val="21"/>
      <w:szCs w:val="21"/>
      <w:lang w:val="en-US" w:eastAsia="en-US" w:bidi="ar-SA"/>
    </w:rPr>
  </w:style>
  <w:style w:type="paragraph" w:styleId="6">
    <w:name w:val="toc 3"/>
    <w:basedOn w:val="1"/>
    <w:next w:val="1"/>
    <w:qFormat/>
    <w:uiPriority w:val="0"/>
    <w:pPr>
      <w:ind w:left="840" w:leftChars="400"/>
    </w:pPr>
  </w:style>
  <w:style w:type="paragraph" w:styleId="7">
    <w:name w:val="footer"/>
    <w:basedOn w:val="1"/>
    <w:link w:val="16"/>
    <w:qFormat/>
    <w:uiPriority w:val="0"/>
    <w:pPr>
      <w:tabs>
        <w:tab w:val="center" w:pos="4153"/>
        <w:tab w:val="right" w:pos="8306"/>
      </w:tabs>
      <w:snapToGrid w:val="0"/>
      <w:jc w:val="left"/>
    </w:pPr>
    <w:rPr>
      <w:sz w:val="18"/>
    </w:rPr>
  </w:style>
  <w:style w:type="paragraph" w:styleId="8">
    <w:name w:val="header"/>
    <w:basedOn w:val="1"/>
    <w:link w:val="1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character" w:styleId="13">
    <w:name w:val="annotation reference"/>
    <w:basedOn w:val="12"/>
    <w:qFormat/>
    <w:uiPriority w:val="0"/>
    <w:rPr>
      <w:rFonts w:asciiTheme="minorHAnsi" w:hAnsiTheme="minorHAnsi" w:eastAsiaTheme="minorEastAsia" w:cstheme="minorBidi"/>
      <w:sz w:val="21"/>
      <w:szCs w:val="21"/>
    </w:rPr>
  </w:style>
  <w:style w:type="character" w:customStyle="1" w:styleId="14">
    <w:name w:val="标题 3 Char"/>
    <w:link w:val="3"/>
    <w:qFormat/>
    <w:uiPriority w:val="0"/>
    <w:rPr>
      <w:b/>
      <w:sz w:val="32"/>
    </w:rPr>
  </w:style>
  <w:style w:type="character" w:customStyle="1" w:styleId="15">
    <w:name w:val="页眉 字符"/>
    <w:basedOn w:val="12"/>
    <w:link w:val="8"/>
    <w:qFormat/>
    <w:uiPriority w:val="0"/>
    <w:rPr>
      <w:rFonts w:asciiTheme="minorHAnsi" w:hAnsiTheme="minorHAnsi" w:eastAsiaTheme="minorEastAsia" w:cstheme="minorBidi"/>
      <w:sz w:val="18"/>
    </w:rPr>
  </w:style>
  <w:style w:type="character" w:customStyle="1" w:styleId="16">
    <w:name w:val="页脚 字符"/>
    <w:basedOn w:val="12"/>
    <w:link w:val="7"/>
    <w:qFormat/>
    <w:uiPriority w:val="0"/>
    <w:rPr>
      <w:rFonts w:asciiTheme="minorHAnsi" w:hAnsiTheme="minorHAnsi" w:eastAsiaTheme="minorEastAsia" w:cstheme="minorBidi"/>
      <w:sz w:val="18"/>
    </w:rPr>
  </w:style>
  <w:style w:type="character" w:customStyle="1" w:styleId="17">
    <w:name w:val="font01"/>
    <w:basedOn w:val="12"/>
    <w:qFormat/>
    <w:uiPriority w:val="0"/>
    <w:rPr>
      <w:rFonts w:hint="eastAsia" w:ascii="等线" w:hAnsi="等线" w:eastAsia="等线" w:cs="等线"/>
      <w:color w:val="000000"/>
      <w:sz w:val="22"/>
      <w:szCs w:val="22"/>
      <w:u w:val="none"/>
    </w:rPr>
  </w:style>
  <w:style w:type="character" w:customStyle="1" w:styleId="18">
    <w:name w:val="font21"/>
    <w:basedOn w:val="12"/>
    <w:qFormat/>
    <w:uiPriority w:val="0"/>
    <w:rPr>
      <w:rFonts w:hint="eastAsia"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46</Pages>
  <Words>17078</Words>
  <Characters>17634</Characters>
  <Lines>0</Lines>
  <Paragraphs>0</Paragraphs>
  <TotalTime>20</TotalTime>
  <ScaleCrop>false</ScaleCrop>
  <LinksUpToDate>false</LinksUpToDate>
  <CharactersWithSpaces>18454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2026-07-17T08:22:00Z</dcterms:created>
  <dc:creator>comet9</dc:creator>
  <cp:lastModifiedBy>冀恩惠</cp:lastModifiedBy>
  <cp:lastPrinted>2026-07-28T22:44:00Z</cp:lastPrinted>
  <dcterms:modified xsi:type="dcterms:W3CDTF">2026-10-13T07:04:34Z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724380C2C04746728CDE0A7650E032CF_13</vt:lpwstr>
  </property>
  <property fmtid="{D5CDD505-2E9C-101B-9397-08002B2CF9AE}" pid="4" name="KSOTemplateDocerSaveRecord">
    <vt:lpwstr>eyJoZGlkIjoiMjBkY2ExZDYwNTA0NDQyYjEzMjQxZmVhMGE0MDcwZGIiLCJ1c2VySWQiOiIyMzk3MzM0NDgifQ==</vt:lpwstr>
  </property>
</Properties>
</file>