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adjustRightInd w:val="0"/>
        <w:snapToGrid w:val="0"/>
        <w:spacing w:after="0" w:line="600" w:lineRule="exact"/>
        <w:rPr>
          <w:rFonts w:hint="eastAsia" w:ascii="黑体" w:hAnsi="黑体" w:eastAsia="黑体" w:cs="Times New Roman"/>
          <w:sz w:val="32"/>
          <w:szCs w:val="32"/>
        </w:rPr>
      </w:pPr>
      <w:r>
        <w:rPr>
          <w:rFonts w:hint="eastAsia" w:ascii="黑体" w:hAnsi="黑体" w:eastAsia="黑体" w:cs="Times New Roman"/>
          <w:sz w:val="32"/>
          <w:szCs w:val="32"/>
        </w:rPr>
        <w:t>附件1</w:t>
      </w:r>
    </w:p>
    <w:p>
      <w:pPr>
        <w:adjustRightInd w:val="0"/>
        <w:snapToGrid w:val="0"/>
        <w:spacing w:before="312" w:beforeLines="100" w:after="0" w:line="240" w:lineRule="auto"/>
        <w:jc w:val="center"/>
        <w:rPr>
          <w:rFonts w:ascii="方正小标宋简体" w:hAnsi="Times New Roman" w:eastAsia="方正小标宋简体" w:cs="方正小标宋_GBK"/>
          <w:sz w:val="44"/>
          <w:szCs w:val="44"/>
          <w14:ligatures w14:val="none"/>
        </w:rPr>
      </w:pPr>
      <w:r>
        <w:rPr>
          <w:rFonts w:hint="eastAsia" w:ascii="方正小标宋简体" w:hAnsi="Times New Roman" w:eastAsia="方正小标宋简体" w:cs="方正小标宋_GBK"/>
          <w:sz w:val="44"/>
          <w:szCs w:val="44"/>
          <w14:ligatures w14:val="none"/>
        </w:rPr>
        <w:t>《〈民用航空安全管理规定〉法律责任</w:t>
      </w:r>
    </w:p>
    <w:p>
      <w:pPr>
        <w:adjustRightInd w:val="0"/>
        <w:snapToGrid w:val="0"/>
        <w:spacing w:after="0" w:line="240" w:lineRule="auto"/>
        <w:jc w:val="center"/>
        <w:rPr>
          <w:rFonts w:ascii="方正小标宋简体" w:hAnsi="Times New Roman" w:eastAsia="方正小标宋简体" w:cs="方正小标宋_GBK"/>
          <w:sz w:val="44"/>
          <w:szCs w:val="44"/>
          <w14:ligatures w14:val="none"/>
        </w:rPr>
      </w:pPr>
      <w:r>
        <w:rPr>
          <w:rFonts w:hint="eastAsia" w:ascii="方正小标宋简体" w:hAnsi="Times New Roman" w:eastAsia="方正小标宋简体" w:cs="方正小标宋_GBK"/>
          <w:sz w:val="44"/>
          <w:szCs w:val="44"/>
          <w14:ligatures w14:val="none"/>
        </w:rPr>
        <w:t>行政裁量基准》（公开征求意见稿）</w:t>
      </w:r>
    </w:p>
    <w:p>
      <w:pPr>
        <w:adjustRightInd w:val="0"/>
        <w:snapToGrid w:val="0"/>
        <w:spacing w:after="0" w:line="360" w:lineRule="auto"/>
        <w:ind w:firstLine="640" w:firstLineChars="200"/>
        <w:jc w:val="both"/>
        <w:rPr>
          <w:rFonts w:hint="eastAsia" w:ascii="黑体" w:hAnsi="黑体" w:eastAsia="黑体" w:cs="黑体"/>
          <w:sz w:val="32"/>
          <w:szCs w:val="32"/>
          <w14:ligatures w14:val="none"/>
        </w:rPr>
      </w:pPr>
    </w:p>
    <w:p>
      <w:pPr>
        <w:adjustRightInd w:val="0"/>
        <w:snapToGrid w:val="0"/>
        <w:spacing w:after="0" w:line="600" w:lineRule="exact"/>
        <w:ind w:firstLine="640" w:firstLineChars="200"/>
        <w:jc w:val="both"/>
        <w:rPr>
          <w:rFonts w:hint="eastAsia" w:ascii="黑体" w:hAnsi="黑体" w:eastAsia="黑体" w:cs="黑体"/>
          <w:sz w:val="32"/>
          <w:szCs w:val="32"/>
          <w14:ligatures w14:val="none"/>
        </w:rPr>
      </w:pPr>
      <w:r>
        <w:rPr>
          <w:rFonts w:hint="eastAsia" w:ascii="黑体" w:hAnsi="黑体" w:eastAsia="黑体" w:cs="黑体"/>
          <w:sz w:val="32"/>
          <w:szCs w:val="32"/>
          <w14:ligatures w14:val="none"/>
        </w:rPr>
        <w:t>一、关于对《民用航空安全管理规定》的违法行为裁量阶次设定的理由</w:t>
      </w:r>
    </w:p>
    <w:p>
      <w:pPr>
        <w:adjustRightInd w:val="0"/>
        <w:snapToGrid w:val="0"/>
        <w:spacing w:after="0" w:line="600" w:lineRule="exact"/>
        <w:ind w:firstLine="640" w:firstLineChars="200"/>
        <w:jc w:val="both"/>
        <w:rPr>
          <w:rFonts w:hint="eastAsia" w:ascii="仿宋_GB2312" w:hAnsi="宋体" w:eastAsia="仿宋_GB2312" w:cstheme="minorEastAsia"/>
          <w:sz w:val="32"/>
          <w:szCs w:val="32"/>
          <w14:ligatures w14:val="none"/>
        </w:rPr>
      </w:pPr>
      <w:r>
        <w:rPr>
          <w:rFonts w:hint="eastAsia" w:ascii="仿宋_GB2312" w:hAnsi="宋体" w:eastAsia="仿宋_GB2312" w:cstheme="minorEastAsia"/>
          <w:sz w:val="32"/>
          <w:szCs w:val="32"/>
          <w14:ligatures w14:val="none"/>
        </w:rPr>
        <w:t>本次在</w:t>
      </w:r>
      <w:bookmarkStart w:id="0" w:name="OLE_LINK1"/>
      <w:r>
        <w:rPr>
          <w:rFonts w:hint="eastAsia" w:ascii="仿宋_GB2312" w:hAnsi="宋体" w:eastAsia="仿宋_GB2312" w:cstheme="minorEastAsia"/>
          <w:sz w:val="32"/>
          <w:szCs w:val="32"/>
          <w14:ligatures w14:val="none"/>
        </w:rPr>
        <w:t>法律责任行政裁量设计中</w:t>
      </w:r>
      <w:bookmarkEnd w:id="0"/>
      <w:r>
        <w:rPr>
          <w:rFonts w:hint="eastAsia" w:ascii="仿宋_GB2312" w:hAnsi="宋体" w:eastAsia="仿宋_GB2312" w:cstheme="minorEastAsia"/>
          <w:sz w:val="32"/>
          <w:szCs w:val="32"/>
          <w14:ligatures w14:val="none"/>
        </w:rPr>
        <w:t>，对涉及安全的违法行为设置为从轻处罚、一般处罚和从重处罚三类，未设置免予处罚情形。主要考虑是，民航安全具有高度敏感性、复杂性和公共性，相关违法行为一旦发生，即表明民航生产经营单位或者有关责任人员在安全生产责任落实、安全生产规章制度执行、隐患排查治理和安全风险管控等方面存在问题。立足民航安全工作“关口前移、预防为主”的基本要求，有必要通过严格责任约束，强化制度执行、纠正违法状态、消除安全隐患。因此，行政裁量中明确不对涉及安全的违法行为作免予处罚规定，有利于强化“违法必究、失责必问”的鲜明导向，更好发挥本规定法律责任条款固根本、明底线、强约束的作用。</w:t>
      </w:r>
    </w:p>
    <w:p>
      <w:pPr>
        <w:adjustRightInd w:val="0"/>
        <w:snapToGrid w:val="0"/>
        <w:spacing w:after="0" w:line="600" w:lineRule="exact"/>
        <w:ind w:firstLine="640" w:firstLineChars="200"/>
        <w:jc w:val="both"/>
        <w:rPr>
          <w:rFonts w:hint="eastAsia" w:ascii="黑体" w:hAnsi="黑体" w:eastAsia="黑体" w:cs="黑体"/>
          <w:sz w:val="32"/>
          <w:szCs w:val="32"/>
          <w14:ligatures w14:val="none"/>
        </w:rPr>
      </w:pPr>
      <w:r>
        <w:rPr>
          <w:rFonts w:hint="eastAsia" w:ascii="黑体" w:hAnsi="黑体" w:eastAsia="黑体" w:cs="黑体"/>
          <w:sz w:val="32"/>
          <w:szCs w:val="32"/>
          <w14:ligatures w14:val="none"/>
        </w:rPr>
        <w:t>二、关于行政处罚裁量基准参照依据的理由</w:t>
      </w:r>
    </w:p>
    <w:p>
      <w:pPr>
        <w:adjustRightInd w:val="0"/>
        <w:snapToGrid w:val="0"/>
        <w:spacing w:after="0" w:line="600" w:lineRule="exact"/>
        <w:ind w:firstLine="640" w:firstLineChars="200"/>
        <w:jc w:val="both"/>
        <w:rPr>
          <w:rFonts w:hint="eastAsia" w:ascii="仿宋_GB2312" w:hAnsi="宋体" w:eastAsia="仿宋_GB2312" w:cstheme="minorEastAsia"/>
          <w:sz w:val="32"/>
          <w:szCs w:val="32"/>
          <w14:ligatures w14:val="none"/>
        </w:rPr>
      </w:pPr>
      <w:r>
        <w:rPr>
          <w:rFonts w:hint="eastAsia" w:ascii="仿宋_GB2312" w:hAnsi="宋体" w:eastAsia="仿宋_GB2312" w:cstheme="minorEastAsia"/>
          <w:sz w:val="32"/>
          <w:szCs w:val="32"/>
          <w14:ligatures w14:val="none"/>
        </w:rPr>
        <w:t>本次在法律责任行政裁量设计中，涉及对应</w:t>
      </w:r>
      <w:bookmarkStart w:id="1" w:name="OLE_LINK22"/>
      <w:r>
        <w:rPr>
          <w:rFonts w:hint="eastAsia" w:ascii="仿宋_GB2312" w:hAnsi="宋体" w:eastAsia="仿宋_GB2312" w:cstheme="minorEastAsia"/>
          <w:sz w:val="32"/>
          <w:szCs w:val="32"/>
          <w14:ligatures w14:val="none"/>
        </w:rPr>
        <w:t>《中华人民共和国安全生产法》</w:t>
      </w:r>
      <w:bookmarkEnd w:id="1"/>
      <w:r>
        <w:rPr>
          <w:rFonts w:hint="eastAsia" w:ascii="仿宋_GB2312" w:hAnsi="宋体" w:eastAsia="仿宋_GB2312" w:cstheme="minorEastAsia"/>
          <w:sz w:val="32"/>
          <w:szCs w:val="32"/>
          <w14:ligatures w14:val="none"/>
        </w:rPr>
        <w:t>法律责任的行政裁量参考应急管理部《应急管理行政处</w:t>
      </w:r>
      <w:bookmarkStart w:id="53" w:name="_GoBack"/>
      <w:bookmarkEnd w:id="53"/>
      <w:r>
        <w:rPr>
          <w:rFonts w:hint="eastAsia" w:ascii="仿宋_GB2312" w:hAnsi="宋体" w:eastAsia="仿宋_GB2312" w:cstheme="minorEastAsia"/>
          <w:sz w:val="32"/>
          <w:szCs w:val="32"/>
          <w14:ligatures w14:val="none"/>
        </w:rPr>
        <w:t>罚裁量权基准》制定，主要考虑应急管理部有关裁量规定与</w:t>
      </w:r>
      <w:r>
        <w:rPr>
          <w:rFonts w:ascii="仿宋_GB2312" w:hAnsi="宋体" w:eastAsia="仿宋_GB2312" w:cstheme="minorEastAsia"/>
          <w:sz w:val="32"/>
          <w:szCs w:val="32"/>
          <w14:ligatures w14:val="none"/>
        </w:rPr>
        <w:t>《中华人民共和国安全生产法》</w:t>
      </w:r>
      <w:r>
        <w:rPr>
          <w:rFonts w:hint="eastAsia" w:ascii="仿宋_GB2312" w:hAnsi="宋体" w:eastAsia="仿宋_GB2312" w:cstheme="minorEastAsia"/>
          <w:sz w:val="32"/>
          <w:szCs w:val="32"/>
          <w14:ligatures w14:val="none"/>
        </w:rPr>
        <w:t>等上位法衔接较为紧密，制度结构较为完整，情节划分、幅度设置和适用逻辑相对成熟，具有较强的可借鉴性。《民用航空安全管理规定》作为民航安全管理基础性、框架性规章，在法律责任具体实施过程中，借鉴适用较为成熟的安全生产执法规则，有利于提高处罚标准设定的科学性和规范性，为执法实践提供清晰、稳定的参照基础。但是对</w:t>
      </w:r>
      <w:bookmarkStart w:id="2" w:name="OLE_LINK2"/>
      <w:r>
        <w:rPr>
          <w:rFonts w:hint="eastAsia" w:ascii="仿宋_GB2312" w:hAnsi="宋体" w:eastAsia="仿宋_GB2312" w:cstheme="minorEastAsia"/>
          <w:sz w:val="32"/>
          <w:szCs w:val="32"/>
          <w14:ligatures w14:val="none"/>
        </w:rPr>
        <w:t>非法设立的民航生产经营单位和</w:t>
      </w:r>
      <w:r>
        <w:rPr>
          <w:rFonts w:ascii="仿宋_GB2312" w:hAnsi="宋体" w:eastAsia="仿宋_GB2312" w:cstheme="minorEastAsia"/>
          <w:sz w:val="32"/>
          <w:szCs w:val="32"/>
          <w14:ligatures w14:val="none"/>
        </w:rPr>
        <w:t>未取得安全生产相关证照</w:t>
      </w:r>
      <w:r>
        <w:rPr>
          <w:rFonts w:hint="eastAsia" w:ascii="仿宋_GB2312" w:hAnsi="宋体" w:eastAsia="仿宋_GB2312" w:cstheme="minorEastAsia"/>
          <w:sz w:val="32"/>
          <w:szCs w:val="32"/>
          <w14:ligatures w14:val="none"/>
        </w:rPr>
        <w:t>，</w:t>
      </w:r>
      <w:r>
        <w:rPr>
          <w:rFonts w:ascii="仿宋_GB2312" w:hAnsi="宋体" w:eastAsia="仿宋_GB2312" w:cstheme="minorEastAsia"/>
          <w:sz w:val="32"/>
          <w:szCs w:val="32"/>
          <w14:ligatures w14:val="none"/>
        </w:rPr>
        <w:t>或者超许可范围开展民航生产经营活动的民航生产经营单位</w:t>
      </w:r>
      <w:bookmarkEnd w:id="2"/>
      <w:r>
        <w:rPr>
          <w:rFonts w:hint="eastAsia" w:ascii="仿宋_GB2312" w:hAnsi="宋体" w:eastAsia="仿宋_GB2312" w:cstheme="minorEastAsia"/>
          <w:sz w:val="32"/>
          <w:szCs w:val="32"/>
          <w14:ligatures w14:val="none"/>
        </w:rPr>
        <w:t>行政处罚时，应当坚持从严从重的原则，依法加大处罚力度，强化违法成本，维护正常民航生产经营秩序和安全管理要求。</w:t>
      </w:r>
    </w:p>
    <w:p>
      <w:pPr>
        <w:adjustRightInd w:val="0"/>
        <w:snapToGrid w:val="0"/>
        <w:spacing w:after="0" w:line="600" w:lineRule="exact"/>
        <w:ind w:firstLine="640" w:firstLineChars="200"/>
        <w:jc w:val="both"/>
        <w:rPr>
          <w:rFonts w:hint="eastAsia" w:ascii="仿宋_GB2312" w:hAnsi="宋体" w:eastAsia="仿宋_GB2312" w:cstheme="minorEastAsia"/>
          <w:sz w:val="32"/>
          <w:szCs w:val="32"/>
          <w14:ligatures w14:val="none"/>
        </w:rPr>
      </w:pPr>
      <w:r>
        <w:rPr>
          <w:rFonts w:hint="eastAsia" w:ascii="仿宋_GB2312" w:hAnsi="宋体" w:eastAsia="仿宋_GB2312" w:cstheme="minorEastAsia"/>
          <w:sz w:val="32"/>
          <w:szCs w:val="32"/>
          <w14:ligatures w14:val="none"/>
        </w:rPr>
        <w:t>涉及特定民航生产经营单位的第四十二条、第四十三条法律责任的行政裁量是根据《中国民用航空局关于印发&lt;民用航空行政裁量权基准制定规则&gt;的通知》中的原则进行设计的。</w:t>
      </w:r>
    </w:p>
    <w:p>
      <w:pPr>
        <w:adjustRightInd w:val="0"/>
        <w:snapToGrid w:val="0"/>
        <w:spacing w:after="0" w:line="360" w:lineRule="auto"/>
        <w:jc w:val="both"/>
        <w:rPr>
          <w:rFonts w:hint="eastAsia" w:ascii="宋体" w:hAnsi="宋体" w:eastAsia="宋体" w:cstheme="minorEastAsia"/>
          <w:sz w:val="28"/>
          <w:szCs w:val="28"/>
          <w14:ligatures w14:val="none"/>
        </w:rPr>
        <w:sectPr>
          <w:headerReference r:id="rId6" w:type="first"/>
          <w:footerReference r:id="rId9" w:type="first"/>
          <w:footerReference r:id="rId7" w:type="default"/>
          <w:headerReference r:id="rId5" w:type="even"/>
          <w:footerReference r:id="rId8" w:type="even"/>
          <w:pgSz w:w="11906" w:h="16838"/>
          <w:pgMar w:top="1701" w:right="1701" w:bottom="1701" w:left="1701" w:header="851" w:footer="992" w:gutter="0"/>
          <w:pgNumType w:fmt="numberInDash"/>
          <w:cols w:space="425" w:num="1"/>
          <w:docGrid w:type="linesAndChars" w:linePitch="312" w:charSpace="0"/>
        </w:sectPr>
      </w:pPr>
    </w:p>
    <w:p>
      <w:pPr>
        <w:jc w:val="center"/>
        <w:rPr>
          <w:rFonts w:hint="eastAsia"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sz w:val="44"/>
          <w:szCs w:val="44"/>
          <w14:ligatures w14:val="none"/>
        </w:rPr>
        <w:t>《民用航空安全管理规定》法律责任</w:t>
      </w:r>
      <w:r>
        <w:rPr>
          <w:rFonts w:hint="eastAsia" w:ascii="方正小标宋简体" w:hAnsi="方正小标宋简体" w:eastAsia="方正小标宋简体" w:cs="方正小标宋简体"/>
          <w:kern w:val="0"/>
          <w:sz w:val="44"/>
          <w:szCs w:val="44"/>
        </w:rPr>
        <w:t>行政裁量基准</w:t>
      </w:r>
    </w:p>
    <w:tbl>
      <w:tblPr>
        <w:tblStyle w:val="37"/>
        <w:tblW w:w="496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0"/>
        <w:gridCol w:w="1635"/>
        <w:gridCol w:w="3516"/>
        <w:gridCol w:w="851"/>
        <w:gridCol w:w="957"/>
        <w:gridCol w:w="3101"/>
        <w:gridCol w:w="27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62" w:type="pct"/>
            <w:vMerge w:val="restart"/>
            <w:vAlign w:val="center"/>
          </w:tcPr>
          <w:p>
            <w:pPr>
              <w:snapToGrid w:val="0"/>
              <w:spacing w:after="0" w:line="240" w:lineRule="auto"/>
              <w:jc w:val="center"/>
              <w:rPr>
                <w:rFonts w:hint="eastAsia" w:ascii="Nimbus Roman" w:hAnsi="Nimbus Roman" w:eastAsia="黑体" w:cs="黑体"/>
                <w:sz w:val="28"/>
                <w:szCs w:val="28"/>
              </w:rPr>
            </w:pPr>
            <w:r>
              <w:rPr>
                <w:rFonts w:hint="eastAsia" w:ascii="Nimbus Roman" w:hAnsi="Nimbus Roman" w:eastAsia="黑体" w:cs="黑体"/>
                <w:sz w:val="28"/>
                <w:szCs w:val="28"/>
              </w:rPr>
              <w:t>司局</w:t>
            </w:r>
          </w:p>
        </w:tc>
        <w:tc>
          <w:tcPr>
            <w:tcW w:w="603" w:type="pct"/>
            <w:vMerge w:val="restart"/>
            <w:vAlign w:val="center"/>
          </w:tcPr>
          <w:p>
            <w:pPr>
              <w:snapToGrid w:val="0"/>
              <w:spacing w:after="0" w:line="240" w:lineRule="auto"/>
              <w:jc w:val="center"/>
              <w:rPr>
                <w:rFonts w:hint="eastAsia" w:ascii="Nimbus Roman" w:hAnsi="Nimbus Roman" w:eastAsia="黑体" w:cs="黑体"/>
                <w:sz w:val="28"/>
                <w:szCs w:val="28"/>
              </w:rPr>
            </w:pPr>
            <w:r>
              <w:rPr>
                <w:rFonts w:hint="eastAsia" w:ascii="Nimbus Roman" w:hAnsi="Nimbus Roman" w:eastAsia="黑体" w:cs="黑体"/>
                <w:sz w:val="28"/>
                <w:szCs w:val="28"/>
              </w:rPr>
              <w:t>违法行为</w:t>
            </w:r>
          </w:p>
        </w:tc>
        <w:tc>
          <w:tcPr>
            <w:tcW w:w="1297" w:type="pct"/>
            <w:vMerge w:val="restart"/>
            <w:vAlign w:val="center"/>
          </w:tcPr>
          <w:p>
            <w:pPr>
              <w:snapToGrid w:val="0"/>
              <w:spacing w:after="0" w:line="240" w:lineRule="auto"/>
              <w:jc w:val="center"/>
              <w:rPr>
                <w:rFonts w:hint="eastAsia" w:ascii="Nimbus Roman" w:hAnsi="Nimbus Roman" w:eastAsia="黑体" w:cs="黑体"/>
                <w:sz w:val="28"/>
                <w:szCs w:val="28"/>
              </w:rPr>
            </w:pPr>
            <w:r>
              <w:rPr>
                <w:rFonts w:hint="eastAsia" w:ascii="Nimbus Roman" w:hAnsi="Nimbus Roman" w:eastAsia="黑体" w:cs="黑体"/>
                <w:sz w:val="28"/>
                <w:szCs w:val="28"/>
              </w:rPr>
              <w:t>法定依据</w:t>
            </w:r>
          </w:p>
        </w:tc>
        <w:tc>
          <w:tcPr>
            <w:tcW w:w="314" w:type="pct"/>
            <w:vMerge w:val="restart"/>
            <w:vAlign w:val="center"/>
          </w:tcPr>
          <w:p>
            <w:pPr>
              <w:snapToGrid w:val="0"/>
              <w:spacing w:after="0" w:line="240" w:lineRule="auto"/>
              <w:jc w:val="center"/>
              <w:rPr>
                <w:rFonts w:hint="eastAsia" w:ascii="Nimbus Roman" w:hAnsi="Nimbus Roman" w:eastAsia="黑体" w:cs="黑体"/>
                <w:sz w:val="28"/>
                <w:szCs w:val="28"/>
              </w:rPr>
            </w:pPr>
            <w:r>
              <w:rPr>
                <w:rFonts w:hint="eastAsia" w:ascii="Nimbus Roman" w:hAnsi="Nimbus Roman" w:eastAsia="黑体" w:cs="黑体"/>
                <w:sz w:val="28"/>
                <w:szCs w:val="28"/>
              </w:rPr>
              <w:t>裁量</w:t>
            </w:r>
          </w:p>
          <w:p>
            <w:pPr>
              <w:snapToGrid w:val="0"/>
              <w:spacing w:after="0" w:line="240" w:lineRule="auto"/>
              <w:jc w:val="center"/>
              <w:rPr>
                <w:rFonts w:hint="eastAsia" w:ascii="Nimbus Roman" w:hAnsi="Nimbus Roman" w:eastAsia="黑体" w:cs="黑体"/>
                <w:sz w:val="28"/>
                <w:szCs w:val="28"/>
              </w:rPr>
            </w:pPr>
            <w:r>
              <w:rPr>
                <w:rFonts w:hint="eastAsia" w:ascii="Nimbus Roman" w:hAnsi="Nimbus Roman" w:eastAsia="黑体" w:cs="黑体"/>
                <w:sz w:val="28"/>
                <w:szCs w:val="28"/>
              </w:rPr>
              <w:t>阶次</w:t>
            </w:r>
          </w:p>
        </w:tc>
        <w:tc>
          <w:tcPr>
            <w:tcW w:w="1497" w:type="pct"/>
            <w:gridSpan w:val="2"/>
            <w:vAlign w:val="center"/>
          </w:tcPr>
          <w:p>
            <w:pPr>
              <w:snapToGrid w:val="0"/>
              <w:spacing w:after="0" w:line="240" w:lineRule="auto"/>
              <w:jc w:val="center"/>
              <w:rPr>
                <w:rFonts w:hint="eastAsia" w:ascii="Nimbus Roman" w:hAnsi="Nimbus Roman" w:eastAsia="黑体" w:cs="黑体"/>
                <w:sz w:val="28"/>
                <w:szCs w:val="28"/>
              </w:rPr>
            </w:pPr>
            <w:r>
              <w:rPr>
                <w:rFonts w:hint="eastAsia" w:ascii="Nimbus Roman" w:hAnsi="Nimbus Roman" w:eastAsia="黑体" w:cs="黑体"/>
                <w:sz w:val="28"/>
                <w:szCs w:val="28"/>
              </w:rPr>
              <w:t>适用条件</w:t>
            </w:r>
          </w:p>
        </w:tc>
        <w:tc>
          <w:tcPr>
            <w:tcW w:w="1024" w:type="pct"/>
            <w:vMerge w:val="restart"/>
            <w:vAlign w:val="center"/>
          </w:tcPr>
          <w:p>
            <w:pPr>
              <w:snapToGrid w:val="0"/>
              <w:spacing w:after="0" w:line="240" w:lineRule="auto"/>
              <w:jc w:val="center"/>
              <w:rPr>
                <w:rFonts w:hint="eastAsia" w:ascii="Nimbus Roman" w:hAnsi="Nimbus Roman" w:eastAsia="黑体" w:cs="黑体"/>
                <w:sz w:val="28"/>
                <w:szCs w:val="28"/>
              </w:rPr>
            </w:pPr>
            <w:r>
              <w:rPr>
                <w:rFonts w:hint="eastAsia" w:ascii="Nimbus Roman" w:hAnsi="Nimbus Roman" w:eastAsia="黑体" w:cs="黑体"/>
                <w:sz w:val="28"/>
                <w:szCs w:val="28"/>
              </w:rPr>
              <w:t>具体标准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blHeader/>
        </w:trPr>
        <w:tc>
          <w:tcPr>
            <w:tcW w:w="262" w:type="pct"/>
            <w:vMerge w:val="continue"/>
            <w:tcBorders>
              <w:bottom w:val="nil"/>
            </w:tcBorders>
            <w:vAlign w:val="center"/>
          </w:tcPr>
          <w:p>
            <w:pPr>
              <w:snapToGrid w:val="0"/>
              <w:spacing w:after="0" w:line="240" w:lineRule="auto"/>
              <w:jc w:val="center"/>
              <w:rPr>
                <w:rFonts w:hint="eastAsia" w:ascii="Nimbus Roman" w:hAnsi="Nimbus Roman" w:eastAsia="仿宋_GB2312" w:cs="Times New Roman"/>
                <w:sz w:val="28"/>
                <w:szCs w:val="28"/>
              </w:rPr>
            </w:pPr>
          </w:p>
        </w:tc>
        <w:tc>
          <w:tcPr>
            <w:tcW w:w="603" w:type="pct"/>
            <w:vMerge w:val="continue"/>
            <w:tcBorders>
              <w:bottom w:val="nil"/>
            </w:tcBorders>
            <w:vAlign w:val="center"/>
          </w:tcPr>
          <w:p>
            <w:pPr>
              <w:snapToGrid w:val="0"/>
              <w:spacing w:after="0" w:line="240" w:lineRule="auto"/>
              <w:jc w:val="both"/>
              <w:rPr>
                <w:rFonts w:hint="eastAsia" w:ascii="Nimbus Roman" w:hAnsi="Nimbus Roman" w:eastAsia="仿宋_GB2312" w:cs="Times New Roman"/>
                <w:sz w:val="28"/>
                <w:szCs w:val="28"/>
              </w:rPr>
            </w:pPr>
          </w:p>
        </w:tc>
        <w:tc>
          <w:tcPr>
            <w:tcW w:w="1297" w:type="pct"/>
            <w:vMerge w:val="continue"/>
            <w:tcBorders>
              <w:bottom w:val="nil"/>
            </w:tcBorders>
            <w:vAlign w:val="center"/>
          </w:tcPr>
          <w:p>
            <w:pPr>
              <w:snapToGrid w:val="0"/>
              <w:spacing w:after="0" w:line="240" w:lineRule="auto"/>
              <w:jc w:val="both"/>
              <w:rPr>
                <w:rFonts w:hint="eastAsia" w:ascii="Nimbus Roman" w:hAnsi="Nimbus Roman" w:eastAsia="仿宋_GB2312" w:cs="Times New Roman"/>
                <w:sz w:val="28"/>
                <w:szCs w:val="28"/>
              </w:rPr>
            </w:pPr>
          </w:p>
        </w:tc>
        <w:tc>
          <w:tcPr>
            <w:tcW w:w="314" w:type="pct"/>
            <w:vMerge w:val="continue"/>
            <w:tcBorders>
              <w:bottom w:val="nil"/>
            </w:tcBorders>
            <w:vAlign w:val="center"/>
          </w:tcPr>
          <w:p>
            <w:pPr>
              <w:snapToGrid w:val="0"/>
              <w:spacing w:after="0" w:line="240" w:lineRule="auto"/>
              <w:jc w:val="center"/>
              <w:rPr>
                <w:rFonts w:hint="eastAsia" w:ascii="Nimbus Roman" w:hAnsi="Nimbus Roman" w:eastAsia="仿宋_GB2312" w:cs="Times New Roman"/>
                <w:sz w:val="28"/>
                <w:szCs w:val="28"/>
              </w:rPr>
            </w:pPr>
          </w:p>
        </w:tc>
        <w:tc>
          <w:tcPr>
            <w:tcW w:w="353" w:type="pct"/>
            <w:tcBorders>
              <w:bottom w:val="nil"/>
            </w:tcBorders>
            <w:vAlign w:val="center"/>
          </w:tcPr>
          <w:p>
            <w:pPr>
              <w:snapToGrid w:val="0"/>
              <w:spacing w:after="0" w:line="240" w:lineRule="auto"/>
              <w:jc w:val="center"/>
              <w:rPr>
                <w:rFonts w:hint="eastAsia" w:ascii="Nimbus Roman" w:hAnsi="Nimbus Roman" w:eastAsia="黑体" w:cs="黑体"/>
                <w:sz w:val="28"/>
                <w:szCs w:val="28"/>
              </w:rPr>
            </w:pPr>
            <w:r>
              <w:rPr>
                <w:rFonts w:hint="eastAsia" w:ascii="Nimbus Roman" w:hAnsi="Nimbus Roman" w:eastAsia="黑体" w:cs="黑体"/>
                <w:sz w:val="28"/>
                <w:szCs w:val="28"/>
              </w:rPr>
              <w:t>情节</w:t>
            </w:r>
          </w:p>
          <w:p>
            <w:pPr>
              <w:snapToGrid w:val="0"/>
              <w:spacing w:after="0" w:line="240" w:lineRule="auto"/>
              <w:jc w:val="center"/>
              <w:rPr>
                <w:rFonts w:hint="eastAsia" w:ascii="Nimbus Roman" w:hAnsi="Nimbus Roman" w:eastAsia="黑体" w:cs="黑体"/>
                <w:sz w:val="28"/>
                <w:szCs w:val="28"/>
              </w:rPr>
            </w:pPr>
            <w:r>
              <w:rPr>
                <w:rFonts w:hint="eastAsia" w:ascii="Nimbus Roman" w:hAnsi="Nimbus Roman" w:eastAsia="黑体" w:cs="黑体"/>
                <w:sz w:val="28"/>
                <w:szCs w:val="28"/>
              </w:rPr>
              <w:t>程度</w:t>
            </w:r>
          </w:p>
        </w:tc>
        <w:tc>
          <w:tcPr>
            <w:tcW w:w="1144" w:type="pct"/>
            <w:tcBorders>
              <w:bottom w:val="nil"/>
            </w:tcBorders>
            <w:vAlign w:val="center"/>
          </w:tcPr>
          <w:p>
            <w:pPr>
              <w:snapToGrid w:val="0"/>
              <w:spacing w:after="0" w:line="240" w:lineRule="auto"/>
              <w:jc w:val="center"/>
              <w:rPr>
                <w:rFonts w:hint="eastAsia" w:ascii="Nimbus Roman" w:hAnsi="Nimbus Roman" w:eastAsia="黑体" w:cs="黑体"/>
                <w:sz w:val="28"/>
                <w:szCs w:val="28"/>
              </w:rPr>
            </w:pPr>
            <w:r>
              <w:rPr>
                <w:rFonts w:hint="eastAsia" w:ascii="Nimbus Roman" w:hAnsi="Nimbus Roman" w:eastAsia="黑体" w:cs="黑体"/>
                <w:sz w:val="28"/>
                <w:szCs w:val="28"/>
              </w:rPr>
              <w:t>具体情形</w:t>
            </w:r>
          </w:p>
        </w:tc>
        <w:tc>
          <w:tcPr>
            <w:tcW w:w="1024" w:type="pct"/>
            <w:vMerge w:val="continue"/>
            <w:tcBorders>
              <w:bottom w:val="nil"/>
            </w:tcBorders>
            <w:vAlign w:val="center"/>
          </w:tcPr>
          <w:p>
            <w:pPr>
              <w:snapToGrid w:val="0"/>
              <w:spacing w:after="0" w:line="240" w:lineRule="auto"/>
              <w:jc w:val="both"/>
              <w:rPr>
                <w:rFonts w:hint="eastAsia" w:ascii="Nimbus Roman" w:hAnsi="Nimbus Roman" w:eastAsia="仿宋_GB2312"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exact"/>
          <w:tblHeader/>
        </w:trPr>
        <w:tc>
          <w:tcPr>
            <w:tcW w:w="5000" w:type="pct"/>
            <w:gridSpan w:val="7"/>
            <w:tcBorders>
              <w:top w:val="nil"/>
            </w:tcBorders>
            <w:vAlign w:val="center"/>
          </w:tcPr>
          <w:p>
            <w:pPr>
              <w:snapToGrid w:val="0"/>
              <w:spacing w:after="0" w:line="240" w:lineRule="auto"/>
              <w:ind w:firstLine="32"/>
              <w:jc w:val="center"/>
              <w:rPr>
                <w:rFonts w:hint="eastAsia" w:ascii="Nimbus Roman" w:hAnsi="Nimbus Roman" w:eastAsia="仿宋_GB2312"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3" w:hRule="atLeast"/>
        </w:trPr>
        <w:tc>
          <w:tcPr>
            <w:tcW w:w="262" w:type="pct"/>
            <w:vMerge w:val="restart"/>
            <w:tcBorders>
              <w:top w:val="nil"/>
            </w:tcBorders>
            <w:vAlign w:val="center"/>
          </w:tcPr>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相关业务司局</w:t>
            </w:r>
          </w:p>
        </w:tc>
        <w:tc>
          <w:tcPr>
            <w:tcW w:w="603" w:type="pct"/>
            <w:vMerge w:val="restart"/>
            <w:vAlign w:val="center"/>
          </w:tcPr>
          <w:p>
            <w:pPr>
              <w:snapToGrid w:val="0"/>
              <w:spacing w:after="0" w:line="240" w:lineRule="auto"/>
              <w:jc w:val="both"/>
              <w:rPr>
                <w:rFonts w:hint="eastAsia" w:ascii="Nimbus Roman" w:hAnsi="Nimbus Roman" w:eastAsia="仿宋_GB2312" w:cs="Times New Roman"/>
                <w:sz w:val="28"/>
                <w:szCs w:val="28"/>
              </w:rPr>
            </w:pPr>
            <w:r>
              <w:rPr>
                <w:rFonts w:ascii="Nimbus Roman" w:hAnsi="Nimbus Roman" w:eastAsia="仿宋_GB2312" w:cs="Times New Roman"/>
                <w:sz w:val="28"/>
                <w:szCs w:val="28"/>
              </w:rPr>
              <w:t>未按照规定设置安全管理部门或者配备安全管理人员的</w:t>
            </w:r>
          </w:p>
        </w:tc>
        <w:tc>
          <w:tcPr>
            <w:tcW w:w="1297" w:type="pct"/>
            <w:vMerge w:val="restart"/>
            <w:vAlign w:val="center"/>
          </w:tcPr>
          <w:p>
            <w:pPr>
              <w:snapToGrid w:val="0"/>
              <w:spacing w:after="0" w:line="240" w:lineRule="auto"/>
              <w:jc w:val="both"/>
              <w:outlineLvl w:val="1"/>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《民用航空安全管理规定》第五条 民航生产经营单位应当依法设置安全管理</w:t>
            </w:r>
            <w:bookmarkStart w:id="3" w:name="OLE_LINK20"/>
            <w:r>
              <w:rPr>
                <w:rFonts w:hint="eastAsia" w:ascii="Nimbus Roman" w:hAnsi="Nimbus Roman" w:eastAsia="仿宋_GB2312" w:cs="仿宋_GB2312"/>
                <w:sz w:val="28"/>
                <w:szCs w:val="28"/>
              </w:rPr>
              <w:t>部门</w:t>
            </w:r>
            <w:bookmarkEnd w:id="3"/>
            <w:r>
              <w:rPr>
                <w:rFonts w:hint="eastAsia" w:ascii="Nimbus Roman" w:hAnsi="Nimbus Roman" w:eastAsia="仿宋_GB2312" w:cs="仿宋_GB2312"/>
                <w:sz w:val="28"/>
                <w:szCs w:val="28"/>
              </w:rPr>
              <w:t>或者配备足够的安全管理人员。</w:t>
            </w:r>
          </w:p>
          <w:p>
            <w:pPr>
              <w:snapToGrid w:val="0"/>
              <w:spacing w:after="0" w:line="240" w:lineRule="auto"/>
              <w:jc w:val="both"/>
              <w:outlineLvl w:val="1"/>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《民用航空安全管理规定》第三十七条 民航生产经营单位有下列行为之一的，由民航地区管理局依照《中华人民共和国安全生产法》第九十七条规定处理：（一）违反本规定第五条，未按照规定设置安全管理部门或者配备安全管理人员的。</w:t>
            </w:r>
          </w:p>
          <w:p>
            <w:pPr>
              <w:snapToGrid w:val="0"/>
              <w:spacing w:after="0" w:line="240" w:lineRule="auto"/>
              <w:jc w:val="both"/>
              <w:outlineLvl w:val="1"/>
              <w:rPr>
                <w:rFonts w:hint="eastAsia" w:ascii="Nimbus Roman" w:hAnsi="Nimbus Roman" w:eastAsia="仿宋_GB2312" w:cs="仿宋_GB2312"/>
                <w:sz w:val="28"/>
                <w:szCs w:val="28"/>
              </w:rPr>
            </w:pPr>
            <w:r>
              <w:rPr>
                <w:rFonts w:hint="eastAsia" w:ascii="Nimbus Roman" w:hAnsi="Nimbus Roman" w:eastAsia="仿宋_GB2312" w:cs="仿宋_GB2312"/>
                <w:sz w:val="28"/>
                <w:szCs w:val="28"/>
              </w:rPr>
              <w:t>《中华人民共和国安全生产法》第九十七条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一）未按照规定设置安全生产管理机构或者配备安全生产管理人员、注册安全工程师的。</w:t>
            </w:r>
          </w:p>
        </w:tc>
        <w:tc>
          <w:tcPr>
            <w:tcW w:w="314" w:type="pct"/>
            <w:vAlign w:val="center"/>
          </w:tcPr>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从轻</w:t>
            </w:r>
          </w:p>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处罚</w:t>
            </w:r>
          </w:p>
        </w:tc>
        <w:tc>
          <w:tcPr>
            <w:tcW w:w="353" w:type="pct"/>
            <w:vAlign w:val="center"/>
          </w:tcPr>
          <w:p>
            <w:pPr>
              <w:snapToGrid w:val="0"/>
              <w:spacing w:after="0" w:line="240" w:lineRule="auto"/>
              <w:ind w:firstLine="31"/>
              <w:jc w:val="both"/>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情节</w:t>
            </w:r>
          </w:p>
          <w:p>
            <w:pPr>
              <w:snapToGrid w:val="0"/>
              <w:spacing w:after="0" w:line="240" w:lineRule="auto"/>
              <w:ind w:firstLine="31"/>
              <w:jc w:val="both"/>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较轻</w:t>
            </w:r>
          </w:p>
        </w:tc>
        <w:tc>
          <w:tcPr>
            <w:tcW w:w="1144" w:type="pct"/>
            <w:vAlign w:val="center"/>
          </w:tcPr>
          <w:p>
            <w:pPr>
              <w:snapToGrid w:val="0"/>
              <w:spacing w:after="0" w:line="240" w:lineRule="auto"/>
              <w:ind w:firstLine="22" w:firstLineChars="8"/>
              <w:jc w:val="both"/>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1.从业人员不满30人的</w:t>
            </w:r>
            <w:r>
              <w:rPr>
                <w:rFonts w:ascii="Nimbus Roman" w:hAnsi="Nimbus Roman" w:eastAsia="仿宋_GB2312" w:cs="Times New Roman"/>
                <w:sz w:val="28"/>
                <w:szCs w:val="28"/>
              </w:rPr>
              <w:t>大型飞机公共航空运输承运人、小型商业运输运营人、运输机场</w:t>
            </w:r>
            <w:r>
              <w:rPr>
                <w:rFonts w:hint="eastAsia" w:ascii="Nimbus Roman" w:hAnsi="Nimbus Roman" w:eastAsia="仿宋_GB2312" w:cs="Times New Roman"/>
                <w:sz w:val="28"/>
                <w:szCs w:val="28"/>
              </w:rPr>
              <w:t>，</w:t>
            </w:r>
            <w:bookmarkStart w:id="4" w:name="OLE_LINK23"/>
            <w:r>
              <w:rPr>
                <w:rFonts w:hint="eastAsia" w:ascii="Nimbus Roman" w:hAnsi="Nimbus Roman" w:eastAsia="仿宋_GB2312" w:cs="Times New Roman"/>
                <w:sz w:val="28"/>
                <w:szCs w:val="28"/>
              </w:rPr>
              <w:t>未按照规定设置安全管理部门或者配备专职安全管理人员的</w:t>
            </w:r>
            <w:bookmarkEnd w:id="4"/>
            <w:r>
              <w:rPr>
                <w:rFonts w:hint="eastAsia" w:ascii="Nimbus Roman" w:hAnsi="Nimbus Roman" w:eastAsia="仿宋_GB2312" w:cs="Times New Roman"/>
                <w:sz w:val="28"/>
                <w:szCs w:val="28"/>
              </w:rPr>
              <w:t>。</w:t>
            </w:r>
          </w:p>
          <w:p>
            <w:pPr>
              <w:snapToGrid w:val="0"/>
              <w:spacing w:after="0" w:line="240" w:lineRule="auto"/>
              <w:ind w:firstLine="22" w:firstLineChars="8"/>
              <w:jc w:val="both"/>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2.从业人员不满100人的其他民航生产经营单位，未按照规定配备专职或者兼职安全管理人员的。</w:t>
            </w:r>
          </w:p>
        </w:tc>
        <w:tc>
          <w:tcPr>
            <w:tcW w:w="1024" w:type="pct"/>
            <w:vAlign w:val="center"/>
          </w:tcPr>
          <w:p>
            <w:pPr>
              <w:snapToGrid w:val="0"/>
              <w:spacing w:after="0" w:line="240" w:lineRule="auto"/>
              <w:ind w:firstLine="32"/>
              <w:jc w:val="both"/>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责令限期改正，处3万元以下的罚款；逾期未改正的，责令停产停业整顿，并处10万元以上13万元以下的罚款，对其直接负责的主管人员和其他直接责任人员处2万元以上3万元以下的罚款。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 w:type="pct"/>
            <w:vMerge w:val="continue"/>
            <w:vAlign w:val="center"/>
          </w:tcPr>
          <w:p>
            <w:pPr>
              <w:snapToGrid w:val="0"/>
              <w:spacing w:after="0" w:line="240" w:lineRule="auto"/>
              <w:jc w:val="center"/>
              <w:rPr>
                <w:rFonts w:hint="eastAsia" w:ascii="Nimbus Roman" w:hAnsi="Nimbus Roman" w:eastAsia="仿宋_GB2312" w:cs="Times New Roman"/>
                <w:sz w:val="28"/>
                <w:szCs w:val="28"/>
              </w:rPr>
            </w:pPr>
          </w:p>
        </w:tc>
        <w:tc>
          <w:tcPr>
            <w:tcW w:w="603" w:type="pct"/>
            <w:vMerge w:val="continue"/>
            <w:vAlign w:val="center"/>
          </w:tcPr>
          <w:p>
            <w:pPr>
              <w:snapToGrid w:val="0"/>
              <w:spacing w:after="0" w:line="240" w:lineRule="auto"/>
              <w:jc w:val="both"/>
              <w:rPr>
                <w:rFonts w:hint="eastAsia" w:ascii="Nimbus Roman" w:hAnsi="Nimbus Roman" w:eastAsia="仿宋_GB2312" w:cs="Times New Roman"/>
                <w:sz w:val="28"/>
                <w:szCs w:val="28"/>
              </w:rPr>
            </w:pPr>
          </w:p>
        </w:tc>
        <w:tc>
          <w:tcPr>
            <w:tcW w:w="1297" w:type="pct"/>
            <w:vMerge w:val="continue"/>
            <w:vAlign w:val="center"/>
          </w:tcPr>
          <w:p>
            <w:pPr>
              <w:widowControl/>
              <w:snapToGrid w:val="0"/>
              <w:spacing w:after="0" w:line="240" w:lineRule="auto"/>
              <w:jc w:val="both"/>
              <w:outlineLvl w:val="1"/>
              <w:rPr>
                <w:rFonts w:hint="eastAsia" w:ascii="Nimbus Roman" w:hAnsi="Nimbus Roman" w:eastAsia="仿宋_GB2312" w:cs="仿宋_GB2312"/>
                <w:sz w:val="28"/>
                <w:szCs w:val="28"/>
              </w:rPr>
            </w:pPr>
          </w:p>
        </w:tc>
        <w:tc>
          <w:tcPr>
            <w:tcW w:w="314" w:type="pct"/>
            <w:vAlign w:val="center"/>
          </w:tcPr>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一般</w:t>
            </w:r>
          </w:p>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处罚</w:t>
            </w:r>
          </w:p>
        </w:tc>
        <w:tc>
          <w:tcPr>
            <w:tcW w:w="353" w:type="pct"/>
            <w:vAlign w:val="center"/>
          </w:tcPr>
          <w:p>
            <w:pPr>
              <w:snapToGrid w:val="0"/>
              <w:spacing w:after="0" w:line="240" w:lineRule="auto"/>
              <w:jc w:val="both"/>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情节</w:t>
            </w:r>
          </w:p>
          <w:p>
            <w:pPr>
              <w:snapToGrid w:val="0"/>
              <w:spacing w:after="0" w:line="240" w:lineRule="auto"/>
              <w:jc w:val="both"/>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一般</w:t>
            </w:r>
          </w:p>
        </w:tc>
        <w:tc>
          <w:tcPr>
            <w:tcW w:w="1144" w:type="pct"/>
            <w:vAlign w:val="center"/>
          </w:tcPr>
          <w:p>
            <w:pPr>
              <w:snapToGrid w:val="0"/>
              <w:spacing w:after="0" w:line="240" w:lineRule="auto"/>
              <w:jc w:val="both"/>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1.从业人员30人以上但不满100人的</w:t>
            </w:r>
            <w:r>
              <w:rPr>
                <w:rFonts w:ascii="Nimbus Roman" w:hAnsi="Nimbus Roman" w:eastAsia="仿宋_GB2312" w:cs="Times New Roman"/>
                <w:sz w:val="28"/>
                <w:szCs w:val="28"/>
              </w:rPr>
              <w:t>大型飞机公共航空运输承运人、小型商业运输运营人、运输机场</w:t>
            </w:r>
            <w:r>
              <w:rPr>
                <w:rFonts w:hint="eastAsia" w:ascii="Nimbus Roman" w:hAnsi="Nimbus Roman" w:eastAsia="仿宋_GB2312" w:cs="Times New Roman"/>
                <w:sz w:val="28"/>
                <w:szCs w:val="28"/>
              </w:rPr>
              <w:t>，</w:t>
            </w:r>
            <w:r>
              <w:rPr>
                <w:rFonts w:ascii="Nimbus Roman" w:hAnsi="Nimbus Roman" w:eastAsia="仿宋_GB2312" w:cs="Times New Roman"/>
                <w:sz w:val="28"/>
                <w:szCs w:val="28"/>
              </w:rPr>
              <w:t>未按照规定设置安全管理部门或者配备专职安全管理人员的</w:t>
            </w:r>
            <w:r>
              <w:rPr>
                <w:rFonts w:hint="eastAsia" w:ascii="Nimbus Roman" w:hAnsi="Nimbus Roman" w:eastAsia="仿宋_GB2312" w:cs="Times New Roman"/>
                <w:sz w:val="28"/>
                <w:szCs w:val="28"/>
              </w:rPr>
              <w:t>。</w:t>
            </w:r>
          </w:p>
          <w:p>
            <w:pPr>
              <w:snapToGrid w:val="0"/>
              <w:spacing w:after="0" w:line="240" w:lineRule="auto"/>
              <w:jc w:val="both"/>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2.从业人员在100人以上但不满300人的其他民航生产经营单位，</w:t>
            </w:r>
            <w:bookmarkStart w:id="5" w:name="OLE_LINK25"/>
            <w:r>
              <w:rPr>
                <w:rFonts w:ascii="Nimbus Roman" w:hAnsi="Nimbus Roman" w:eastAsia="仿宋_GB2312" w:cs="Times New Roman"/>
                <w:sz w:val="28"/>
                <w:szCs w:val="28"/>
              </w:rPr>
              <w:t>未按照规定设置安全管理部门或者配备专职安全管理人员的</w:t>
            </w:r>
            <w:bookmarkEnd w:id="5"/>
            <w:r>
              <w:rPr>
                <w:rFonts w:hint="eastAsia" w:ascii="Nimbus Roman" w:hAnsi="Nimbus Roman" w:eastAsia="仿宋_GB2312" w:cs="Times New Roman"/>
                <w:sz w:val="28"/>
                <w:szCs w:val="28"/>
              </w:rPr>
              <w:t>。</w:t>
            </w:r>
          </w:p>
        </w:tc>
        <w:tc>
          <w:tcPr>
            <w:tcW w:w="1024" w:type="pct"/>
            <w:vAlign w:val="center"/>
          </w:tcPr>
          <w:p>
            <w:pPr>
              <w:snapToGrid w:val="0"/>
              <w:spacing w:after="0" w:line="240" w:lineRule="auto"/>
              <w:jc w:val="both"/>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责令限期改正，处3万元以上7万元以下的罚款；逾期未改正的，责令停产停业整顿，并处13万元以上17万元以下的罚款，对其直接负责的主管人员和其他直接责任人员处3万元以上4万元以下的罚款。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 w:type="pct"/>
            <w:vMerge w:val="continue"/>
            <w:vAlign w:val="center"/>
          </w:tcPr>
          <w:p>
            <w:pPr>
              <w:snapToGrid w:val="0"/>
              <w:spacing w:after="0" w:line="240" w:lineRule="auto"/>
              <w:jc w:val="center"/>
              <w:rPr>
                <w:rFonts w:hint="eastAsia" w:ascii="Nimbus Roman" w:hAnsi="Nimbus Roman" w:eastAsia="仿宋_GB2312" w:cs="Times New Roman"/>
                <w:sz w:val="28"/>
                <w:szCs w:val="28"/>
              </w:rPr>
            </w:pPr>
          </w:p>
        </w:tc>
        <w:tc>
          <w:tcPr>
            <w:tcW w:w="603" w:type="pct"/>
            <w:vMerge w:val="continue"/>
            <w:vAlign w:val="center"/>
          </w:tcPr>
          <w:p>
            <w:pPr>
              <w:snapToGrid w:val="0"/>
              <w:spacing w:after="0" w:line="240" w:lineRule="auto"/>
              <w:jc w:val="both"/>
              <w:rPr>
                <w:rFonts w:hint="eastAsia" w:ascii="Nimbus Roman" w:hAnsi="Nimbus Roman" w:eastAsia="仿宋_GB2312" w:cs="Times New Roman"/>
                <w:sz w:val="28"/>
                <w:szCs w:val="28"/>
              </w:rPr>
            </w:pPr>
          </w:p>
        </w:tc>
        <w:tc>
          <w:tcPr>
            <w:tcW w:w="1297" w:type="pct"/>
            <w:vMerge w:val="continue"/>
            <w:vAlign w:val="center"/>
          </w:tcPr>
          <w:p>
            <w:pPr>
              <w:widowControl/>
              <w:snapToGrid w:val="0"/>
              <w:spacing w:after="0" w:line="240" w:lineRule="auto"/>
              <w:jc w:val="both"/>
              <w:outlineLvl w:val="1"/>
              <w:rPr>
                <w:rFonts w:hint="eastAsia" w:ascii="Nimbus Roman" w:hAnsi="Nimbus Roman" w:eastAsia="仿宋_GB2312" w:cs="仿宋_GB2312"/>
                <w:sz w:val="28"/>
                <w:szCs w:val="28"/>
              </w:rPr>
            </w:pPr>
          </w:p>
        </w:tc>
        <w:tc>
          <w:tcPr>
            <w:tcW w:w="314" w:type="pct"/>
            <w:vAlign w:val="center"/>
          </w:tcPr>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从重</w:t>
            </w:r>
          </w:p>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处罚</w:t>
            </w:r>
          </w:p>
        </w:tc>
        <w:tc>
          <w:tcPr>
            <w:tcW w:w="353" w:type="pct"/>
            <w:vAlign w:val="center"/>
          </w:tcPr>
          <w:p>
            <w:pPr>
              <w:snapToGrid w:val="0"/>
              <w:spacing w:after="0" w:line="240" w:lineRule="auto"/>
              <w:jc w:val="both"/>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情节</w:t>
            </w:r>
          </w:p>
          <w:p>
            <w:pPr>
              <w:snapToGrid w:val="0"/>
              <w:spacing w:after="0" w:line="240" w:lineRule="auto"/>
              <w:jc w:val="both"/>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严重</w:t>
            </w:r>
          </w:p>
        </w:tc>
        <w:tc>
          <w:tcPr>
            <w:tcW w:w="1144" w:type="pct"/>
            <w:vAlign w:val="center"/>
          </w:tcPr>
          <w:p>
            <w:pPr>
              <w:numPr>
                <w:ilvl w:val="0"/>
                <w:numId w:val="1"/>
              </w:numPr>
              <w:snapToGrid w:val="0"/>
              <w:spacing w:after="0" w:line="240" w:lineRule="auto"/>
              <w:jc w:val="both"/>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从业人员100人以上的</w:t>
            </w:r>
            <w:r>
              <w:rPr>
                <w:rFonts w:ascii="Nimbus Roman" w:hAnsi="Nimbus Roman" w:eastAsia="仿宋_GB2312" w:cs="Times New Roman"/>
                <w:sz w:val="28"/>
                <w:szCs w:val="28"/>
              </w:rPr>
              <w:t>大型飞机公共航空运输承运人、小型商业运输运营人、运输机场</w:t>
            </w:r>
            <w:r>
              <w:rPr>
                <w:rFonts w:hint="eastAsia" w:ascii="Nimbus Roman" w:hAnsi="Nimbus Roman" w:eastAsia="仿宋_GB2312" w:cs="Times New Roman"/>
                <w:sz w:val="28"/>
                <w:szCs w:val="28"/>
              </w:rPr>
              <w:t>，</w:t>
            </w:r>
            <w:r>
              <w:rPr>
                <w:rFonts w:ascii="Nimbus Roman" w:hAnsi="Nimbus Roman" w:eastAsia="仿宋_GB2312" w:cs="Times New Roman"/>
                <w:sz w:val="28"/>
                <w:szCs w:val="28"/>
              </w:rPr>
              <w:t>未按照规定设置安全管理部门或者配备专职安全管理人员的</w:t>
            </w:r>
            <w:r>
              <w:rPr>
                <w:rFonts w:hint="eastAsia" w:ascii="Nimbus Roman" w:hAnsi="Nimbus Roman" w:eastAsia="仿宋_GB2312" w:cs="Times New Roman"/>
                <w:sz w:val="28"/>
                <w:szCs w:val="28"/>
              </w:rPr>
              <w:t>。</w:t>
            </w:r>
          </w:p>
          <w:p>
            <w:pPr>
              <w:numPr>
                <w:ilvl w:val="0"/>
                <w:numId w:val="1"/>
              </w:numPr>
              <w:snapToGrid w:val="0"/>
              <w:spacing w:after="0" w:line="240" w:lineRule="auto"/>
              <w:jc w:val="both"/>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从业人员300人以上的其他民航生产经营单位</w:t>
            </w:r>
            <w:r>
              <w:rPr>
                <w:rFonts w:ascii="Nimbus Roman" w:hAnsi="Nimbus Roman" w:eastAsia="仿宋_GB2312" w:cs="Times New Roman"/>
                <w:sz w:val="28"/>
                <w:szCs w:val="28"/>
              </w:rPr>
              <w:t>未按照规定设置安全管理部门或者配备专职安全管理人员的</w:t>
            </w:r>
            <w:r>
              <w:rPr>
                <w:rFonts w:hint="eastAsia" w:ascii="Nimbus Roman" w:hAnsi="Nimbus Roman" w:eastAsia="仿宋_GB2312" w:cs="Times New Roman"/>
                <w:sz w:val="28"/>
                <w:szCs w:val="28"/>
              </w:rPr>
              <w:t>。</w:t>
            </w:r>
          </w:p>
          <w:p>
            <w:pPr>
              <w:numPr>
                <w:ilvl w:val="0"/>
                <w:numId w:val="1"/>
              </w:numPr>
              <w:snapToGrid w:val="0"/>
              <w:spacing w:after="0" w:line="240" w:lineRule="auto"/>
              <w:jc w:val="both"/>
              <w:rPr>
                <w:rFonts w:hint="eastAsia" w:ascii="Nimbus Roman" w:hAnsi="Nimbus Roman" w:eastAsia="仿宋_GB2312" w:cs="Times New Roman"/>
                <w:sz w:val="28"/>
                <w:szCs w:val="28"/>
              </w:rPr>
            </w:pPr>
            <w:r>
              <w:rPr>
                <w:rFonts w:hint="eastAsia" w:ascii="Nimbus Roman" w:hAnsi="Nimbus Roman" w:eastAsia="仿宋_GB2312" w:cstheme="minorEastAsia"/>
                <w:sz w:val="28"/>
                <w:szCs w:val="28"/>
                <w14:ligatures w14:val="none"/>
              </w:rPr>
              <w:t>非法设立的民航生产经营单位和</w:t>
            </w:r>
            <w:r>
              <w:rPr>
                <w:rFonts w:ascii="Nimbus Roman" w:hAnsi="Nimbus Roman" w:eastAsia="仿宋_GB2312" w:cstheme="minorEastAsia"/>
                <w:sz w:val="28"/>
                <w:szCs w:val="28"/>
                <w14:ligatures w14:val="none"/>
              </w:rPr>
              <w:t>未取得安全生产相关证照或者超许可范围开展民航生产经营活动的民航生产经营单位</w:t>
            </w:r>
            <w:r>
              <w:rPr>
                <w:rFonts w:hint="eastAsia" w:ascii="Nimbus Roman" w:hAnsi="Nimbus Roman" w:eastAsia="仿宋_GB2312" w:cs="仿宋_GB2312"/>
                <w:sz w:val="28"/>
                <w:szCs w:val="28"/>
              </w:rPr>
              <w:t>未按照规定设置安全管理部门或者配备安全管理人员的。</w:t>
            </w:r>
          </w:p>
        </w:tc>
        <w:tc>
          <w:tcPr>
            <w:tcW w:w="1024" w:type="pct"/>
            <w:vAlign w:val="center"/>
          </w:tcPr>
          <w:p>
            <w:pPr>
              <w:snapToGrid w:val="0"/>
              <w:spacing w:after="0" w:line="240" w:lineRule="auto"/>
              <w:jc w:val="both"/>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责令限期改正，处7万元以上10万元以下的罚款；逾期未改正的，责令停产停业整顿，并处17万元以上20万元以下的罚款，对其直接负责的主管人员和其他直接责任人员处4万元以上5万元以下的罚款。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3" w:hRule="atLeast"/>
        </w:trPr>
        <w:tc>
          <w:tcPr>
            <w:tcW w:w="262" w:type="pct"/>
            <w:vMerge w:val="continue"/>
            <w:vAlign w:val="center"/>
          </w:tcPr>
          <w:p>
            <w:pPr>
              <w:snapToGrid w:val="0"/>
              <w:spacing w:after="0" w:line="240" w:lineRule="auto"/>
              <w:jc w:val="center"/>
              <w:rPr>
                <w:rFonts w:hint="eastAsia" w:ascii="Nimbus Roman" w:hAnsi="Nimbus Roman" w:eastAsia="仿宋_GB2312" w:cs="Times New Roman"/>
                <w:sz w:val="28"/>
                <w:szCs w:val="28"/>
              </w:rPr>
            </w:pPr>
          </w:p>
        </w:tc>
        <w:tc>
          <w:tcPr>
            <w:tcW w:w="603" w:type="pct"/>
            <w:vMerge w:val="restar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未按照规定对从业人员进行安全生产教育和培训的</w:t>
            </w:r>
          </w:p>
        </w:tc>
        <w:tc>
          <w:tcPr>
            <w:tcW w:w="1297" w:type="pct"/>
            <w:vMerge w:val="restart"/>
            <w:vAlign w:val="center"/>
          </w:tcPr>
          <w:p>
            <w:pPr>
              <w:snapToGrid w:val="0"/>
              <w:spacing w:after="0" w:line="240" w:lineRule="auto"/>
              <w:jc w:val="both"/>
              <w:rPr>
                <w:rFonts w:hint="eastAsia" w:ascii="Nimbus Roman" w:hAnsi="Nimbus Roman" w:eastAsia="仿宋_GB2312" w:cs="仿宋_GB2312"/>
                <w:sz w:val="28"/>
                <w:szCs w:val="28"/>
              </w:rPr>
            </w:pPr>
            <w:bookmarkStart w:id="6" w:name="OLE_LINK13"/>
            <w:r>
              <w:rPr>
                <w:rFonts w:hint="eastAsia" w:ascii="Nimbus Roman" w:hAnsi="Nimbus Roman" w:eastAsia="仿宋_GB2312" w:cs="仿宋_GB2312"/>
                <w:sz w:val="28"/>
                <w:szCs w:val="28"/>
              </w:rPr>
              <w:t>《民用航空安全管理规定》</w:t>
            </w:r>
            <w:bookmarkEnd w:id="6"/>
            <w:r>
              <w:rPr>
                <w:rFonts w:hint="eastAsia" w:ascii="Nimbus Roman" w:hAnsi="Nimbus Roman" w:eastAsia="仿宋_GB2312" w:cs="仿宋_GB2312"/>
                <w:sz w:val="28"/>
                <w:szCs w:val="28"/>
              </w:rPr>
              <w:t>第八条 民航生产经营单位应当制定本单位安全生产教育和培训计划，对从业人员进行安全生产教育和培训，保证从业人员具备必要的安全生产知识。</w:t>
            </w:r>
          </w:p>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《民用航空安全管理规定》第三十七条 民航生产经营单位有下列行为之一的，由民航地区管理局依照《中华人民共和国安全生产法》第九十七条规定处理：（二）违反本规定第八条，未按照规定对从业人员进行安全生产教育和培训的。</w:t>
            </w:r>
          </w:p>
          <w:p>
            <w:pPr>
              <w:snapToGrid w:val="0"/>
              <w:spacing w:after="0" w:line="240" w:lineRule="auto"/>
              <w:jc w:val="both"/>
              <w:outlineLvl w:val="1"/>
              <w:rPr>
                <w:rFonts w:hint="eastAsia" w:ascii="Nimbus Roman" w:hAnsi="Nimbus Roman" w:eastAsia="仿宋_GB2312" w:cs="仿宋_GB2312"/>
                <w:sz w:val="28"/>
                <w:szCs w:val="28"/>
              </w:rPr>
            </w:pPr>
            <w:r>
              <w:rPr>
                <w:rFonts w:hint="eastAsia" w:ascii="Nimbus Roman" w:hAnsi="Nimbus Roman" w:eastAsia="仿宋_GB2312" w:cs="仿宋_GB2312"/>
                <w:sz w:val="28"/>
                <w:szCs w:val="28"/>
              </w:rPr>
              <w:t>《中华人民共和国安全生产法》第九十七条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三）未按照规定对从业人员、被派遣劳动者、实习学生进行安全生产教育和培训。</w:t>
            </w:r>
          </w:p>
        </w:tc>
        <w:tc>
          <w:tcPr>
            <w:tcW w:w="314" w:type="pct"/>
            <w:vAlign w:val="center"/>
          </w:tcPr>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从轻</w:t>
            </w:r>
          </w:p>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处罚</w:t>
            </w:r>
          </w:p>
        </w:tc>
        <w:tc>
          <w:tcPr>
            <w:tcW w:w="353" w:type="pct"/>
            <w:vAlign w:val="center"/>
          </w:tcPr>
          <w:p>
            <w:pPr>
              <w:snapToGrid w:val="0"/>
              <w:spacing w:after="0" w:line="240" w:lineRule="auto"/>
              <w:jc w:val="both"/>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情节</w:t>
            </w:r>
          </w:p>
          <w:p>
            <w:pPr>
              <w:snapToGrid w:val="0"/>
              <w:spacing w:after="0" w:line="240" w:lineRule="auto"/>
              <w:jc w:val="both"/>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较轻</w:t>
            </w:r>
          </w:p>
        </w:tc>
        <w:tc>
          <w:tcPr>
            <w:tcW w:w="114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民航生产经营单位未按规定对从业人员进行安全生产教育和培训，涉及人数3人以下的或者占本单位从业人员总人数比例不满10%的。</w:t>
            </w:r>
          </w:p>
        </w:tc>
        <w:tc>
          <w:tcPr>
            <w:tcW w:w="102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责令限期改正，处3万元以下的罚款；逾期未改正的，责令停产停业整顿，并处10万元以上13万元以下的罚款，对其直接负责的主管人员和其他直接责任人员处2万元以上3万元以下的罚款。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1" w:hRule="atLeast"/>
        </w:trPr>
        <w:tc>
          <w:tcPr>
            <w:tcW w:w="262" w:type="pct"/>
            <w:vMerge w:val="continue"/>
            <w:vAlign w:val="center"/>
          </w:tcPr>
          <w:p>
            <w:pPr>
              <w:snapToGrid w:val="0"/>
              <w:spacing w:after="0" w:line="240" w:lineRule="auto"/>
              <w:jc w:val="center"/>
              <w:rPr>
                <w:rFonts w:hint="eastAsia" w:ascii="Nimbus Roman" w:hAnsi="Nimbus Roman" w:eastAsia="仿宋_GB2312" w:cs="Times New Roman"/>
                <w:sz w:val="28"/>
                <w:szCs w:val="28"/>
              </w:rPr>
            </w:pPr>
          </w:p>
        </w:tc>
        <w:tc>
          <w:tcPr>
            <w:tcW w:w="603" w:type="pct"/>
            <w:vMerge w:val="continue"/>
            <w:vAlign w:val="center"/>
          </w:tcPr>
          <w:p>
            <w:pPr>
              <w:snapToGrid w:val="0"/>
              <w:spacing w:after="0" w:line="240" w:lineRule="auto"/>
              <w:jc w:val="both"/>
              <w:rPr>
                <w:rFonts w:hint="eastAsia" w:ascii="Nimbus Roman" w:hAnsi="Nimbus Roman" w:eastAsia="仿宋_GB2312" w:cs="仿宋_GB2312"/>
                <w:sz w:val="28"/>
                <w:szCs w:val="28"/>
              </w:rPr>
            </w:pPr>
          </w:p>
        </w:tc>
        <w:tc>
          <w:tcPr>
            <w:tcW w:w="1297" w:type="pct"/>
            <w:vMerge w:val="continue"/>
            <w:vAlign w:val="center"/>
          </w:tcPr>
          <w:p>
            <w:pPr>
              <w:snapToGrid w:val="0"/>
              <w:spacing w:after="0" w:line="240" w:lineRule="auto"/>
              <w:jc w:val="both"/>
              <w:rPr>
                <w:rFonts w:hint="eastAsia" w:ascii="Nimbus Roman" w:hAnsi="Nimbus Roman" w:eastAsia="仿宋_GB2312" w:cs="仿宋_GB2312"/>
                <w:sz w:val="28"/>
                <w:szCs w:val="28"/>
              </w:rPr>
            </w:pPr>
          </w:p>
        </w:tc>
        <w:tc>
          <w:tcPr>
            <w:tcW w:w="314" w:type="pct"/>
            <w:vAlign w:val="center"/>
          </w:tcPr>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一般</w:t>
            </w:r>
          </w:p>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处罚</w:t>
            </w:r>
          </w:p>
        </w:tc>
        <w:tc>
          <w:tcPr>
            <w:tcW w:w="353" w:type="pct"/>
            <w:vAlign w:val="center"/>
          </w:tcPr>
          <w:p>
            <w:pPr>
              <w:snapToGrid w:val="0"/>
              <w:spacing w:after="0" w:line="240" w:lineRule="auto"/>
              <w:jc w:val="both"/>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情节</w:t>
            </w:r>
          </w:p>
          <w:p>
            <w:pPr>
              <w:snapToGrid w:val="0"/>
              <w:spacing w:after="0" w:line="240" w:lineRule="auto"/>
              <w:jc w:val="both"/>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一般</w:t>
            </w:r>
          </w:p>
        </w:tc>
        <w:tc>
          <w:tcPr>
            <w:tcW w:w="114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Times New Roman"/>
                <w:sz w:val="28"/>
                <w:szCs w:val="28"/>
              </w:rPr>
              <w:t>民航生产经营单位未按规定对从业人员进行安全生产教育和培训，涉及人数4人以上10人以下的</w:t>
            </w:r>
            <w:r>
              <w:rPr>
                <w:rFonts w:hint="eastAsia" w:ascii="Nimbus Roman" w:hAnsi="Nimbus Roman" w:eastAsia="仿宋_GB2312" w:cs="仿宋_GB2312"/>
                <w:sz w:val="28"/>
                <w:szCs w:val="28"/>
              </w:rPr>
              <w:t>或者占本单位从业人员总人数比例10%以上但不满30%的。</w:t>
            </w:r>
          </w:p>
        </w:tc>
        <w:tc>
          <w:tcPr>
            <w:tcW w:w="102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Times New Roman"/>
                <w:sz w:val="28"/>
                <w:szCs w:val="28"/>
              </w:rPr>
              <w:t>责令限期改正，处3万元以上7万元以下的罚款；逾期未改正的，责令停产停业整顿，并处13万元以上17万元以下的罚款，对其直接负责的主管人员和其他直接责任人员处3万元以上4万元以下的罚款。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 w:type="pct"/>
            <w:vMerge w:val="continue"/>
            <w:vAlign w:val="center"/>
          </w:tcPr>
          <w:p>
            <w:pPr>
              <w:snapToGrid w:val="0"/>
              <w:spacing w:after="0" w:line="240" w:lineRule="auto"/>
              <w:jc w:val="center"/>
              <w:rPr>
                <w:rFonts w:hint="eastAsia" w:ascii="Nimbus Roman" w:hAnsi="Nimbus Roman" w:eastAsia="仿宋_GB2312" w:cs="Times New Roman"/>
                <w:sz w:val="28"/>
                <w:szCs w:val="28"/>
              </w:rPr>
            </w:pPr>
          </w:p>
        </w:tc>
        <w:tc>
          <w:tcPr>
            <w:tcW w:w="603" w:type="pct"/>
            <w:vMerge w:val="continue"/>
            <w:vAlign w:val="center"/>
          </w:tcPr>
          <w:p>
            <w:pPr>
              <w:snapToGrid w:val="0"/>
              <w:spacing w:after="0" w:line="240" w:lineRule="auto"/>
              <w:jc w:val="both"/>
              <w:rPr>
                <w:rFonts w:hint="eastAsia" w:ascii="Nimbus Roman" w:hAnsi="Nimbus Roman" w:eastAsia="仿宋_GB2312" w:cs="仿宋_GB2312"/>
                <w:sz w:val="28"/>
                <w:szCs w:val="28"/>
              </w:rPr>
            </w:pPr>
          </w:p>
        </w:tc>
        <w:tc>
          <w:tcPr>
            <w:tcW w:w="1297" w:type="pct"/>
            <w:vMerge w:val="continue"/>
            <w:vAlign w:val="center"/>
          </w:tcPr>
          <w:p>
            <w:pPr>
              <w:snapToGrid w:val="0"/>
              <w:spacing w:after="0" w:line="240" w:lineRule="auto"/>
              <w:jc w:val="both"/>
              <w:rPr>
                <w:rFonts w:hint="eastAsia" w:ascii="Nimbus Roman" w:hAnsi="Nimbus Roman" w:eastAsia="仿宋_GB2312" w:cs="仿宋_GB2312"/>
                <w:sz w:val="28"/>
                <w:szCs w:val="28"/>
              </w:rPr>
            </w:pPr>
          </w:p>
        </w:tc>
        <w:tc>
          <w:tcPr>
            <w:tcW w:w="314" w:type="pct"/>
            <w:vAlign w:val="center"/>
          </w:tcPr>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从重</w:t>
            </w:r>
          </w:p>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处罚</w:t>
            </w:r>
          </w:p>
        </w:tc>
        <w:tc>
          <w:tcPr>
            <w:tcW w:w="353" w:type="pct"/>
            <w:vAlign w:val="center"/>
          </w:tcPr>
          <w:p>
            <w:pPr>
              <w:snapToGrid w:val="0"/>
              <w:spacing w:after="0" w:line="240" w:lineRule="auto"/>
              <w:jc w:val="both"/>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情节</w:t>
            </w:r>
          </w:p>
          <w:p>
            <w:pPr>
              <w:snapToGrid w:val="0"/>
              <w:spacing w:after="0" w:line="240" w:lineRule="auto"/>
              <w:jc w:val="both"/>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严重</w:t>
            </w:r>
          </w:p>
        </w:tc>
        <w:tc>
          <w:tcPr>
            <w:tcW w:w="1144" w:type="pct"/>
            <w:vAlign w:val="center"/>
          </w:tcPr>
          <w:p>
            <w:pPr>
              <w:snapToGrid w:val="0"/>
              <w:spacing w:after="0" w:line="240" w:lineRule="auto"/>
              <w:jc w:val="both"/>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1.民航生产经营单位未按规定对从业人员进行安全生产教育和培训，涉及人数11人以上的</w:t>
            </w:r>
            <w:r>
              <w:rPr>
                <w:rFonts w:hint="eastAsia" w:ascii="Nimbus Roman" w:hAnsi="Nimbus Roman" w:eastAsia="仿宋_GB2312" w:cs="仿宋_GB2312"/>
                <w:sz w:val="28"/>
                <w:szCs w:val="28"/>
              </w:rPr>
              <w:t>或者占本单位从业人员总人数比例30%以上的。</w:t>
            </w:r>
          </w:p>
          <w:p>
            <w:pPr>
              <w:snapToGrid w:val="0"/>
              <w:spacing w:after="0" w:line="240" w:lineRule="auto"/>
              <w:jc w:val="both"/>
              <w:rPr>
                <w:rFonts w:hint="eastAsia" w:ascii="Nimbus Roman" w:hAnsi="Nimbus Roman" w:eastAsia="仿宋_GB2312" w:cs="Times New Roman"/>
                <w:sz w:val="28"/>
                <w:szCs w:val="28"/>
              </w:rPr>
            </w:pPr>
            <w:r>
              <w:rPr>
                <w:rFonts w:hint="eastAsia" w:ascii="Nimbus Roman" w:hAnsi="Nimbus Roman" w:eastAsia="仿宋_GB2312" w:cstheme="minorEastAsia"/>
                <w:sz w:val="28"/>
                <w:szCs w:val="28"/>
                <w14:ligatures w14:val="none"/>
              </w:rPr>
              <w:t>2.非法设立的民航生产经营单位和</w:t>
            </w:r>
            <w:r>
              <w:rPr>
                <w:rFonts w:ascii="Nimbus Roman" w:hAnsi="Nimbus Roman" w:eastAsia="仿宋_GB2312" w:cstheme="minorEastAsia"/>
                <w:sz w:val="28"/>
                <w:szCs w:val="28"/>
                <w14:ligatures w14:val="none"/>
              </w:rPr>
              <w:t>未取得安全生产相关证照或者超许可范围开展民航生产经营活动的民航生产经营单位</w:t>
            </w:r>
            <w:r>
              <w:rPr>
                <w:rFonts w:hint="eastAsia" w:ascii="Nimbus Roman" w:hAnsi="Nimbus Roman" w:eastAsia="仿宋_GB2312" w:cs="仿宋_GB2312"/>
                <w:sz w:val="28"/>
                <w:szCs w:val="28"/>
              </w:rPr>
              <w:t>未按照规定对从业人员进行安全生产教育和培训的，涉及人数1人以上的。</w:t>
            </w:r>
          </w:p>
        </w:tc>
        <w:tc>
          <w:tcPr>
            <w:tcW w:w="1024" w:type="pct"/>
            <w:vAlign w:val="center"/>
          </w:tcPr>
          <w:p>
            <w:pPr>
              <w:snapToGrid w:val="0"/>
              <w:spacing w:after="0" w:line="240" w:lineRule="auto"/>
              <w:jc w:val="both"/>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责令限期改正，处7万元以上10万元以下的罚款；逾期未改正的，责令停产停业整顿，并处17万元以上20万元以下的罚款，对其直接负责的主管人员和其他直接责任人员处4万元以上5万元以下的罚款。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 w:type="pct"/>
            <w:vMerge w:val="continue"/>
            <w:vAlign w:val="center"/>
          </w:tcPr>
          <w:p>
            <w:pPr>
              <w:snapToGrid w:val="0"/>
              <w:spacing w:after="0" w:line="240" w:lineRule="auto"/>
              <w:jc w:val="center"/>
              <w:rPr>
                <w:rFonts w:hint="eastAsia" w:ascii="Nimbus Roman" w:hAnsi="Nimbus Roman" w:eastAsia="仿宋_GB2312" w:cs="Times New Roman"/>
                <w:sz w:val="28"/>
                <w:szCs w:val="28"/>
              </w:rPr>
            </w:pPr>
          </w:p>
        </w:tc>
        <w:tc>
          <w:tcPr>
            <w:tcW w:w="603" w:type="pct"/>
            <w:vMerge w:val="restart"/>
            <w:vAlign w:val="center"/>
          </w:tcPr>
          <w:p>
            <w:pPr>
              <w:snapToGrid w:val="0"/>
              <w:spacing w:after="0" w:line="240" w:lineRule="auto"/>
              <w:jc w:val="both"/>
              <w:rPr>
                <w:rFonts w:hint="eastAsia" w:ascii="Nimbus Roman" w:hAnsi="Nimbus Roman" w:eastAsia="仿宋_GB2312" w:cs="Times New Roman"/>
                <w:sz w:val="28"/>
                <w:szCs w:val="28"/>
              </w:rPr>
            </w:pPr>
            <w:r>
              <w:rPr>
                <w:rFonts w:hint="eastAsia" w:ascii="Nimbus Roman" w:hAnsi="Nimbus Roman" w:eastAsia="仿宋_GB2312" w:cs="仿宋_GB2312"/>
                <w:sz w:val="28"/>
                <w:szCs w:val="28"/>
              </w:rPr>
              <w:t>未如实记录安全生产教育和培训情况的</w:t>
            </w:r>
          </w:p>
        </w:tc>
        <w:tc>
          <w:tcPr>
            <w:tcW w:w="1297" w:type="pct"/>
            <w:vMerge w:val="restart"/>
            <w:vAlign w:val="center"/>
          </w:tcPr>
          <w:p>
            <w:pPr>
              <w:snapToGrid w:val="0"/>
              <w:spacing w:after="0" w:line="240" w:lineRule="auto"/>
              <w:jc w:val="both"/>
              <w:rPr>
                <w:rFonts w:hint="eastAsia" w:ascii="Nimbus Roman" w:hAnsi="Nimbus Roman" w:eastAsia="仿宋_GB2312" w:cs="仿宋_GB2312"/>
                <w:sz w:val="28"/>
                <w:szCs w:val="28"/>
              </w:rPr>
            </w:pPr>
            <w:bookmarkStart w:id="7" w:name="OLE_LINK11"/>
            <w:r>
              <w:rPr>
                <w:rFonts w:hint="eastAsia" w:ascii="Nimbus Roman" w:hAnsi="Nimbus Roman" w:eastAsia="仿宋_GB2312" w:cs="仿宋_GB2312"/>
                <w:sz w:val="28"/>
                <w:szCs w:val="28"/>
              </w:rPr>
              <w:t>《民用航空安全管理规定》</w:t>
            </w:r>
            <w:bookmarkEnd w:id="7"/>
            <w:r>
              <w:rPr>
                <w:rFonts w:hint="eastAsia" w:ascii="Nimbus Roman" w:hAnsi="Nimbus Roman" w:eastAsia="仿宋_GB2312" w:cs="仿宋_GB2312"/>
                <w:sz w:val="28"/>
                <w:szCs w:val="28"/>
              </w:rPr>
              <w:t>第八条 民航生产经营单位应当建立安全生产教育和培训档案，如实记录安全生产教育和培训的时间、内容、参加人员以及考核结果等情况。</w:t>
            </w:r>
          </w:p>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《民用航空安全管理规定》第三十七条 民航生产经营单位有下列行为之一的，由民航地区管理局依照《中华人民共和国安全生产法》第九十七条规定处理：（三）违反本规定第八条，未如实记录安全生产教育和培训情况的。</w:t>
            </w:r>
          </w:p>
          <w:p>
            <w:pPr>
              <w:widowControl/>
              <w:snapToGrid w:val="0"/>
              <w:spacing w:after="0" w:line="240" w:lineRule="auto"/>
              <w:jc w:val="both"/>
              <w:outlineLvl w:val="1"/>
              <w:rPr>
                <w:rFonts w:hint="eastAsia" w:ascii="Nimbus Roman" w:hAnsi="Nimbus Roman" w:eastAsia="仿宋_GB2312" w:cs="仿宋_GB2312"/>
                <w:sz w:val="28"/>
                <w:szCs w:val="28"/>
              </w:rPr>
            </w:pPr>
            <w:r>
              <w:rPr>
                <w:rFonts w:hint="eastAsia" w:ascii="Nimbus Roman" w:hAnsi="Nimbus Roman" w:eastAsia="仿宋_GB2312" w:cs="仿宋_GB2312"/>
                <w:sz w:val="28"/>
                <w:szCs w:val="28"/>
              </w:rPr>
              <w:t>《中华人民共和国安全生产法》第九十七条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四）未如实记录安全生产教育和培训情况的。</w:t>
            </w:r>
          </w:p>
        </w:tc>
        <w:tc>
          <w:tcPr>
            <w:tcW w:w="314" w:type="pct"/>
            <w:vAlign w:val="center"/>
          </w:tcPr>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从轻</w:t>
            </w:r>
          </w:p>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处罚</w:t>
            </w:r>
          </w:p>
        </w:tc>
        <w:tc>
          <w:tcPr>
            <w:tcW w:w="353" w:type="pct"/>
            <w:vAlign w:val="center"/>
          </w:tcPr>
          <w:p>
            <w:pPr>
              <w:snapToGrid w:val="0"/>
              <w:spacing w:after="0" w:line="240" w:lineRule="auto"/>
              <w:jc w:val="both"/>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情节</w:t>
            </w:r>
          </w:p>
          <w:p>
            <w:pPr>
              <w:snapToGrid w:val="0"/>
              <w:spacing w:after="0" w:line="240" w:lineRule="auto"/>
              <w:jc w:val="both"/>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较轻</w:t>
            </w:r>
          </w:p>
        </w:tc>
        <w:tc>
          <w:tcPr>
            <w:tcW w:w="1144" w:type="pct"/>
            <w:vAlign w:val="center"/>
          </w:tcPr>
          <w:p>
            <w:pPr>
              <w:snapToGrid w:val="0"/>
              <w:spacing w:after="0" w:line="240" w:lineRule="auto"/>
              <w:jc w:val="both"/>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民航生产经营单位未如实记录安全生产教育和培训</w:t>
            </w:r>
            <w:r>
              <w:rPr>
                <w:rFonts w:hint="eastAsia" w:ascii="Nimbus Roman" w:hAnsi="Nimbus Roman" w:eastAsia="仿宋_GB2312" w:cs="仿宋_GB2312"/>
                <w:sz w:val="28"/>
                <w:szCs w:val="28"/>
              </w:rPr>
              <w:t>情况</w:t>
            </w:r>
            <w:r>
              <w:rPr>
                <w:rFonts w:hint="eastAsia" w:ascii="Nimbus Roman" w:hAnsi="Nimbus Roman" w:eastAsia="仿宋_GB2312" w:cs="Times New Roman"/>
                <w:sz w:val="28"/>
                <w:szCs w:val="28"/>
              </w:rPr>
              <w:t>，涉及3人以下的</w:t>
            </w:r>
            <w:r>
              <w:rPr>
                <w:rFonts w:hint="eastAsia" w:ascii="Nimbus Roman" w:hAnsi="Nimbus Roman" w:eastAsia="仿宋_GB2312" w:cs="仿宋_GB2312"/>
                <w:sz w:val="28"/>
                <w:szCs w:val="28"/>
              </w:rPr>
              <w:t>或者占本单位从业人员总人数不满10%的。</w:t>
            </w:r>
          </w:p>
        </w:tc>
        <w:tc>
          <w:tcPr>
            <w:tcW w:w="1024" w:type="pct"/>
            <w:vAlign w:val="center"/>
          </w:tcPr>
          <w:p>
            <w:pPr>
              <w:snapToGrid w:val="0"/>
              <w:spacing w:after="0" w:line="240" w:lineRule="auto"/>
              <w:jc w:val="both"/>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责令限期改正，处3万元以下的罚款；逾期未改正的，责令停产停业整顿，并处10万元以上13万元以下的罚款，对其直接负责的主管人员和其他直接责任人员处2万元以上3万元以下的罚款。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 w:type="pct"/>
            <w:vMerge w:val="continue"/>
            <w:vAlign w:val="center"/>
          </w:tcPr>
          <w:p>
            <w:pPr>
              <w:snapToGrid w:val="0"/>
              <w:spacing w:after="0" w:line="240" w:lineRule="auto"/>
              <w:jc w:val="center"/>
              <w:rPr>
                <w:rFonts w:hint="eastAsia" w:ascii="Nimbus Roman" w:hAnsi="Nimbus Roman" w:eastAsia="仿宋_GB2312" w:cs="Times New Roman"/>
                <w:sz w:val="28"/>
                <w:szCs w:val="28"/>
              </w:rPr>
            </w:pPr>
          </w:p>
        </w:tc>
        <w:tc>
          <w:tcPr>
            <w:tcW w:w="603" w:type="pct"/>
            <w:vMerge w:val="continue"/>
            <w:vAlign w:val="center"/>
          </w:tcPr>
          <w:p>
            <w:pPr>
              <w:snapToGrid w:val="0"/>
              <w:spacing w:after="0" w:line="240" w:lineRule="auto"/>
              <w:jc w:val="both"/>
              <w:rPr>
                <w:rFonts w:hint="eastAsia" w:ascii="Nimbus Roman" w:hAnsi="Nimbus Roman" w:eastAsia="仿宋_GB2312" w:cs="Times New Roman"/>
                <w:sz w:val="28"/>
                <w:szCs w:val="28"/>
              </w:rPr>
            </w:pPr>
          </w:p>
        </w:tc>
        <w:tc>
          <w:tcPr>
            <w:tcW w:w="1297" w:type="pct"/>
            <w:vMerge w:val="continue"/>
            <w:vAlign w:val="center"/>
          </w:tcPr>
          <w:p>
            <w:pPr>
              <w:widowControl/>
              <w:snapToGrid w:val="0"/>
              <w:spacing w:after="0" w:line="240" w:lineRule="auto"/>
              <w:jc w:val="both"/>
              <w:outlineLvl w:val="1"/>
              <w:rPr>
                <w:rFonts w:hint="eastAsia" w:ascii="Nimbus Roman" w:hAnsi="Nimbus Roman" w:eastAsia="仿宋_GB2312" w:cs="仿宋_GB2312"/>
                <w:sz w:val="28"/>
                <w:szCs w:val="28"/>
              </w:rPr>
            </w:pPr>
          </w:p>
        </w:tc>
        <w:tc>
          <w:tcPr>
            <w:tcW w:w="314" w:type="pct"/>
            <w:vAlign w:val="center"/>
          </w:tcPr>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一般</w:t>
            </w:r>
          </w:p>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处罚</w:t>
            </w:r>
          </w:p>
        </w:tc>
        <w:tc>
          <w:tcPr>
            <w:tcW w:w="353" w:type="pct"/>
            <w:vAlign w:val="center"/>
          </w:tcPr>
          <w:p>
            <w:pPr>
              <w:snapToGrid w:val="0"/>
              <w:spacing w:after="0" w:line="240" w:lineRule="auto"/>
              <w:jc w:val="both"/>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情节</w:t>
            </w:r>
          </w:p>
          <w:p>
            <w:pPr>
              <w:snapToGrid w:val="0"/>
              <w:spacing w:after="0" w:line="240" w:lineRule="auto"/>
              <w:jc w:val="both"/>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一般</w:t>
            </w:r>
          </w:p>
        </w:tc>
        <w:tc>
          <w:tcPr>
            <w:tcW w:w="1144" w:type="pct"/>
            <w:vAlign w:val="center"/>
          </w:tcPr>
          <w:p>
            <w:pPr>
              <w:snapToGrid w:val="0"/>
              <w:spacing w:after="0" w:line="240" w:lineRule="auto"/>
              <w:jc w:val="both"/>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民航生产经营单位未如实记录安全生产教育和培训</w:t>
            </w:r>
            <w:r>
              <w:rPr>
                <w:rFonts w:hint="eastAsia" w:ascii="Nimbus Roman" w:hAnsi="Nimbus Roman" w:eastAsia="仿宋_GB2312" w:cs="仿宋_GB2312"/>
                <w:sz w:val="28"/>
                <w:szCs w:val="28"/>
              </w:rPr>
              <w:t>情况</w:t>
            </w:r>
            <w:r>
              <w:rPr>
                <w:rFonts w:hint="eastAsia" w:ascii="Nimbus Roman" w:hAnsi="Nimbus Roman" w:eastAsia="仿宋_GB2312" w:cs="Times New Roman"/>
                <w:sz w:val="28"/>
                <w:szCs w:val="28"/>
              </w:rPr>
              <w:t>，涉及4人以上10人以下的</w:t>
            </w:r>
            <w:r>
              <w:rPr>
                <w:rFonts w:hint="eastAsia" w:ascii="Nimbus Roman" w:hAnsi="Nimbus Roman" w:eastAsia="仿宋_GB2312" w:cs="仿宋_GB2312"/>
                <w:sz w:val="28"/>
                <w:szCs w:val="28"/>
              </w:rPr>
              <w:t>或者占本单位从业人员总人数比例10%以上但不满30%的。</w:t>
            </w:r>
          </w:p>
        </w:tc>
        <w:tc>
          <w:tcPr>
            <w:tcW w:w="1024" w:type="pct"/>
            <w:vAlign w:val="center"/>
          </w:tcPr>
          <w:p>
            <w:pPr>
              <w:snapToGrid w:val="0"/>
              <w:spacing w:after="0" w:line="240" w:lineRule="auto"/>
              <w:jc w:val="both"/>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责令限期改正，处3万元以上7万元以下的罚款；逾期未改正的，责令停产停业整顿，并处13万元以上17万元以下的罚款，对其直接负责的主管人员和其他直接责任人员处3万元以上4万元以下的罚款。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 w:type="pct"/>
            <w:vMerge w:val="continue"/>
            <w:vAlign w:val="center"/>
          </w:tcPr>
          <w:p>
            <w:pPr>
              <w:snapToGrid w:val="0"/>
              <w:spacing w:after="0" w:line="240" w:lineRule="auto"/>
              <w:jc w:val="center"/>
              <w:rPr>
                <w:rFonts w:hint="eastAsia" w:ascii="Nimbus Roman" w:hAnsi="Nimbus Roman" w:eastAsia="仿宋_GB2312" w:cs="Times New Roman"/>
                <w:sz w:val="28"/>
                <w:szCs w:val="28"/>
              </w:rPr>
            </w:pPr>
          </w:p>
        </w:tc>
        <w:tc>
          <w:tcPr>
            <w:tcW w:w="603" w:type="pct"/>
            <w:vMerge w:val="continue"/>
            <w:vAlign w:val="center"/>
          </w:tcPr>
          <w:p>
            <w:pPr>
              <w:snapToGrid w:val="0"/>
              <w:spacing w:after="0" w:line="240" w:lineRule="auto"/>
              <w:jc w:val="both"/>
              <w:rPr>
                <w:rFonts w:hint="eastAsia" w:ascii="Nimbus Roman" w:hAnsi="Nimbus Roman" w:eastAsia="仿宋_GB2312" w:cs="Times New Roman"/>
                <w:sz w:val="28"/>
                <w:szCs w:val="28"/>
              </w:rPr>
            </w:pPr>
          </w:p>
        </w:tc>
        <w:tc>
          <w:tcPr>
            <w:tcW w:w="1297" w:type="pct"/>
            <w:vMerge w:val="continue"/>
            <w:vAlign w:val="center"/>
          </w:tcPr>
          <w:p>
            <w:pPr>
              <w:widowControl/>
              <w:snapToGrid w:val="0"/>
              <w:spacing w:after="0" w:line="240" w:lineRule="auto"/>
              <w:jc w:val="both"/>
              <w:outlineLvl w:val="1"/>
              <w:rPr>
                <w:rFonts w:hint="eastAsia" w:ascii="Nimbus Roman" w:hAnsi="Nimbus Roman" w:eastAsia="仿宋_GB2312" w:cs="仿宋_GB2312"/>
                <w:sz w:val="28"/>
                <w:szCs w:val="28"/>
              </w:rPr>
            </w:pPr>
          </w:p>
        </w:tc>
        <w:tc>
          <w:tcPr>
            <w:tcW w:w="314" w:type="pct"/>
            <w:vAlign w:val="center"/>
          </w:tcPr>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从重</w:t>
            </w:r>
          </w:p>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处罚</w:t>
            </w:r>
          </w:p>
        </w:tc>
        <w:tc>
          <w:tcPr>
            <w:tcW w:w="353" w:type="pct"/>
            <w:vAlign w:val="center"/>
          </w:tcPr>
          <w:p>
            <w:pPr>
              <w:snapToGrid w:val="0"/>
              <w:spacing w:after="0" w:line="240" w:lineRule="auto"/>
              <w:jc w:val="both"/>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情节</w:t>
            </w:r>
          </w:p>
          <w:p>
            <w:pPr>
              <w:snapToGrid w:val="0"/>
              <w:spacing w:after="0" w:line="240" w:lineRule="auto"/>
              <w:jc w:val="both"/>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严重</w:t>
            </w:r>
          </w:p>
        </w:tc>
        <w:tc>
          <w:tcPr>
            <w:tcW w:w="1144" w:type="pct"/>
            <w:vAlign w:val="center"/>
          </w:tcPr>
          <w:p>
            <w:pPr>
              <w:snapToGrid w:val="0"/>
              <w:spacing w:after="0" w:line="240" w:lineRule="auto"/>
              <w:jc w:val="both"/>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1.民航生产经营单位未如实记录安全生产教育和培训</w:t>
            </w:r>
            <w:r>
              <w:rPr>
                <w:rFonts w:hint="eastAsia" w:ascii="Nimbus Roman" w:hAnsi="Nimbus Roman" w:eastAsia="仿宋_GB2312" w:cs="仿宋_GB2312"/>
                <w:sz w:val="28"/>
                <w:szCs w:val="28"/>
              </w:rPr>
              <w:t>情况</w:t>
            </w:r>
            <w:r>
              <w:rPr>
                <w:rFonts w:hint="eastAsia" w:ascii="Nimbus Roman" w:hAnsi="Nimbus Roman" w:eastAsia="仿宋_GB2312" w:cs="Times New Roman"/>
                <w:sz w:val="28"/>
                <w:szCs w:val="28"/>
              </w:rPr>
              <w:t>，涉及11人以上的</w:t>
            </w:r>
            <w:r>
              <w:rPr>
                <w:rFonts w:hint="eastAsia" w:ascii="Nimbus Roman" w:hAnsi="Nimbus Roman" w:eastAsia="仿宋_GB2312" w:cs="仿宋_GB2312"/>
                <w:sz w:val="28"/>
                <w:szCs w:val="28"/>
              </w:rPr>
              <w:t>或者占本单位从业人员总人数比例30%以上。</w:t>
            </w:r>
          </w:p>
          <w:p>
            <w:pPr>
              <w:snapToGrid w:val="0"/>
              <w:spacing w:after="0" w:line="240" w:lineRule="auto"/>
              <w:jc w:val="both"/>
              <w:rPr>
                <w:rFonts w:hint="eastAsia" w:ascii="Nimbus Roman" w:hAnsi="Nimbus Roman" w:eastAsia="仿宋_GB2312" w:cs="Times New Roman"/>
                <w:sz w:val="28"/>
                <w:szCs w:val="28"/>
              </w:rPr>
            </w:pPr>
            <w:r>
              <w:rPr>
                <w:rFonts w:hint="eastAsia" w:ascii="Nimbus Roman" w:hAnsi="Nimbus Roman" w:eastAsia="仿宋_GB2312" w:cstheme="minorEastAsia"/>
                <w:sz w:val="28"/>
                <w:szCs w:val="28"/>
                <w14:ligatures w14:val="none"/>
              </w:rPr>
              <w:t>2.非法设立的民航生产经营单位和</w:t>
            </w:r>
            <w:r>
              <w:rPr>
                <w:rFonts w:ascii="Nimbus Roman" w:hAnsi="Nimbus Roman" w:eastAsia="仿宋_GB2312" w:cstheme="minorEastAsia"/>
                <w:sz w:val="28"/>
                <w:szCs w:val="28"/>
                <w14:ligatures w14:val="none"/>
              </w:rPr>
              <w:t>未取得安全生产相关证照或者超许可范围开展民航生产经营活动的民航生产经营单位</w:t>
            </w:r>
            <w:r>
              <w:rPr>
                <w:rFonts w:hint="eastAsia" w:ascii="Nimbus Roman" w:hAnsi="Nimbus Roman" w:eastAsia="仿宋_GB2312" w:cs="Times New Roman"/>
                <w:sz w:val="28"/>
                <w:szCs w:val="28"/>
              </w:rPr>
              <w:t>未如实记录安全生产教育和培训</w:t>
            </w:r>
            <w:r>
              <w:rPr>
                <w:rFonts w:hint="eastAsia" w:ascii="Nimbus Roman" w:hAnsi="Nimbus Roman" w:eastAsia="仿宋_GB2312" w:cs="仿宋_GB2312"/>
                <w:sz w:val="28"/>
                <w:szCs w:val="28"/>
              </w:rPr>
              <w:t>情况，</w:t>
            </w:r>
            <w:r>
              <w:rPr>
                <w:rFonts w:hint="eastAsia" w:ascii="Nimbus Roman" w:hAnsi="Nimbus Roman" w:eastAsia="仿宋_GB2312" w:cs="Times New Roman"/>
                <w:sz w:val="28"/>
                <w:szCs w:val="28"/>
              </w:rPr>
              <w:t>涉及1人以上的。</w:t>
            </w:r>
          </w:p>
        </w:tc>
        <w:tc>
          <w:tcPr>
            <w:tcW w:w="1024" w:type="pct"/>
            <w:vAlign w:val="center"/>
          </w:tcPr>
          <w:p>
            <w:pPr>
              <w:snapToGrid w:val="0"/>
              <w:spacing w:after="0" w:line="240" w:lineRule="auto"/>
              <w:jc w:val="both"/>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责令限期改正，处7万元以上10万元以下的罚款；逾期未改正的，责令停产停业整顿，并处17万元以上20万元以下的罚款，对其直接负责的主管人员和其他直接责任人员处4万元以上5万元以下的罚款。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 w:type="pct"/>
            <w:vMerge w:val="continue"/>
            <w:vAlign w:val="center"/>
          </w:tcPr>
          <w:p>
            <w:pPr>
              <w:snapToGrid w:val="0"/>
              <w:spacing w:after="0" w:line="240" w:lineRule="auto"/>
              <w:jc w:val="center"/>
              <w:rPr>
                <w:rFonts w:hint="eastAsia" w:ascii="Nimbus Roman" w:hAnsi="Nimbus Roman" w:eastAsia="仿宋_GB2312" w:cs="Times New Roman"/>
                <w:sz w:val="28"/>
                <w:szCs w:val="28"/>
              </w:rPr>
            </w:pPr>
          </w:p>
        </w:tc>
        <w:tc>
          <w:tcPr>
            <w:tcW w:w="603" w:type="pct"/>
            <w:vMerge w:val="restart"/>
            <w:vAlign w:val="center"/>
          </w:tcPr>
          <w:p>
            <w:pPr>
              <w:snapToGrid w:val="0"/>
              <w:spacing w:after="0" w:line="240" w:lineRule="auto"/>
              <w:jc w:val="both"/>
              <w:rPr>
                <w:rFonts w:hint="eastAsia" w:ascii="Nimbus Roman" w:hAnsi="Nimbus Roman" w:eastAsia="仿宋_GB2312" w:cs="Times New Roman"/>
                <w:sz w:val="28"/>
                <w:szCs w:val="28"/>
              </w:rPr>
            </w:pPr>
            <w:r>
              <w:rPr>
                <w:rFonts w:hint="eastAsia" w:ascii="Nimbus Roman" w:hAnsi="Nimbus Roman" w:eastAsia="仿宋_GB2312" w:cs="仿宋_GB2312"/>
                <w:sz w:val="28"/>
                <w:szCs w:val="28"/>
              </w:rPr>
              <w:t>主要负责人未履行安全生产管理职责的</w:t>
            </w:r>
          </w:p>
        </w:tc>
        <w:tc>
          <w:tcPr>
            <w:tcW w:w="1297" w:type="pct"/>
            <w:vMerge w:val="restart"/>
            <w:vAlign w:val="center"/>
          </w:tcPr>
          <w:p>
            <w:pPr>
              <w:widowControl/>
              <w:snapToGrid w:val="0"/>
              <w:spacing w:after="0" w:line="240" w:lineRule="auto"/>
              <w:jc w:val="both"/>
              <w:outlineLvl w:val="1"/>
              <w:rPr>
                <w:rFonts w:hint="eastAsia" w:ascii="Nimbus Roman" w:hAnsi="Nimbus Roman" w:eastAsia="仿宋_GB2312" w:cs="仿宋_GB2312"/>
                <w:sz w:val="28"/>
                <w:szCs w:val="28"/>
              </w:rPr>
            </w:pPr>
            <w:bookmarkStart w:id="8" w:name="OLE_LINK14"/>
            <w:r>
              <w:rPr>
                <w:rFonts w:hint="eastAsia" w:ascii="Nimbus Roman" w:hAnsi="Nimbus Roman" w:eastAsia="仿宋_GB2312" w:cs="仿宋_GB2312"/>
                <w:sz w:val="28"/>
                <w:szCs w:val="28"/>
              </w:rPr>
              <w:t>《民用航空安全管理规定》</w:t>
            </w:r>
            <w:bookmarkEnd w:id="8"/>
            <w:r>
              <w:rPr>
                <w:rFonts w:hint="eastAsia" w:ascii="Nimbus Roman" w:hAnsi="Nimbus Roman" w:eastAsia="仿宋_GB2312" w:cs="仿宋_GB2312"/>
                <w:sz w:val="28"/>
                <w:szCs w:val="28"/>
              </w:rPr>
              <w:t>第六条 民航生产经营单位的全员安全生产责任制应当明确各岗位责任人员、责任范围和考核标准等内容，并由主要负责人建立健全并落实。第七条 民航生产经营单位应当明确建立本单位安全风险分级管控制度，建立健全并落实本单位安全隐患排查治理制度，并由主要负责人组织建立并落实相应的机制。第八条</w:t>
            </w:r>
            <w:bookmarkStart w:id="9" w:name="OLE_LINK164"/>
            <w:r>
              <w:rPr>
                <w:rFonts w:hint="eastAsia" w:ascii="Nimbus Roman" w:hAnsi="Nimbus Roman" w:eastAsia="仿宋_GB2312" w:cs="仿宋_GB2312"/>
                <w:sz w:val="28"/>
                <w:szCs w:val="28"/>
              </w:rPr>
              <w:t xml:space="preserve"> 民航生产经营单位应当制定本单位安全生产教育和培训计划</w:t>
            </w:r>
            <w:bookmarkEnd w:id="9"/>
            <w:r>
              <w:rPr>
                <w:rFonts w:hint="eastAsia" w:ascii="Nimbus Roman" w:hAnsi="Nimbus Roman" w:eastAsia="仿宋_GB2312" w:cs="仿宋_GB2312"/>
                <w:sz w:val="28"/>
                <w:szCs w:val="28"/>
              </w:rPr>
              <w:t>。安全生产教育和培训计划由主要负责人组织制定并实施。第九条 民航生产经营单位应当具备的安全生产条件所必需的资金投入。本单位安全生产投入的有效实施由主要负责人予以保证。</w:t>
            </w:r>
          </w:p>
          <w:p>
            <w:pPr>
              <w:widowControl/>
              <w:snapToGrid w:val="0"/>
              <w:spacing w:after="0" w:line="240" w:lineRule="auto"/>
              <w:jc w:val="both"/>
              <w:outlineLvl w:val="1"/>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《民用航空安全管理规定》第三十八条 民航生产经营单位主要负责人未履行下列安全生产管理职责的，由民航地区管理局依照《中华人民共和国安全生产法》第九十四条规定处理：（一）违反本规定第六条，未建立健全并落实本单位全员安全生产责任制的；（二）违反本规定第七条，未组织建立并落实安全风险分级管控和隐患排查治理双重预防工作机制的；（三）违反本规定第八条，未组织制定并实施本单位安全生产教育和培训计划的；（四）违反本规定第九条，未保证本单位安全生产投入的有效实施的。</w:t>
            </w:r>
          </w:p>
          <w:p>
            <w:pPr>
              <w:widowControl/>
              <w:snapToGrid w:val="0"/>
              <w:spacing w:after="0" w:line="240" w:lineRule="auto"/>
              <w:jc w:val="both"/>
              <w:outlineLvl w:val="1"/>
              <w:rPr>
                <w:rFonts w:hint="eastAsia" w:ascii="Nimbus Roman" w:hAnsi="Nimbus Roman" w:eastAsia="仿宋_GB2312" w:cs="仿宋_GB2312"/>
                <w:sz w:val="28"/>
                <w:szCs w:val="28"/>
              </w:rPr>
            </w:pPr>
            <w:r>
              <w:rPr>
                <w:rFonts w:hint="eastAsia" w:ascii="Nimbus Roman" w:hAnsi="Nimbus Roman" w:eastAsia="仿宋_GB2312" w:cs="仿宋_GB2312"/>
                <w:sz w:val="28"/>
                <w:szCs w:val="28"/>
              </w:rPr>
              <w:t>《中华人民共和国安全生产法》第九十四条 生产经营单位的主要负责人未履行本法规定的安全生产管理职责的，责令限期改正，处二万元以上五万元以下的罚款；逾期未改正的，处五万元以上十万元以下的罚款，责令生产经营单位停产停业整顿。</w:t>
            </w:r>
          </w:p>
        </w:tc>
        <w:tc>
          <w:tcPr>
            <w:tcW w:w="314" w:type="pct"/>
            <w:vAlign w:val="center"/>
          </w:tcPr>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从轻</w:t>
            </w:r>
          </w:p>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处罚</w:t>
            </w:r>
          </w:p>
        </w:tc>
        <w:tc>
          <w:tcPr>
            <w:tcW w:w="353"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情节</w:t>
            </w:r>
          </w:p>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较轻</w:t>
            </w:r>
          </w:p>
        </w:tc>
        <w:tc>
          <w:tcPr>
            <w:tcW w:w="114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民航生产经营单位的主要负责人未履行本规定的安全生产管理职责有1项的。</w:t>
            </w:r>
          </w:p>
        </w:tc>
        <w:tc>
          <w:tcPr>
            <w:tcW w:w="102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责令限期改正，处2万元以上3万元以下的罚款；逾期未改正的，处5万元以上7万元以下的罚款，责令生产经营单位停产停业整顿。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 w:type="pct"/>
            <w:vMerge w:val="continue"/>
            <w:vAlign w:val="center"/>
          </w:tcPr>
          <w:p>
            <w:pPr>
              <w:snapToGrid w:val="0"/>
              <w:spacing w:after="0" w:line="240" w:lineRule="auto"/>
              <w:jc w:val="center"/>
              <w:rPr>
                <w:rFonts w:hint="eastAsia" w:ascii="Nimbus Roman" w:hAnsi="Nimbus Roman" w:eastAsia="仿宋_GB2312" w:cs="Times New Roman"/>
                <w:sz w:val="28"/>
                <w:szCs w:val="28"/>
              </w:rPr>
            </w:pPr>
          </w:p>
        </w:tc>
        <w:tc>
          <w:tcPr>
            <w:tcW w:w="603" w:type="pct"/>
            <w:vMerge w:val="continue"/>
            <w:vAlign w:val="center"/>
          </w:tcPr>
          <w:p>
            <w:pPr>
              <w:snapToGrid w:val="0"/>
              <w:spacing w:after="0" w:line="240" w:lineRule="auto"/>
              <w:jc w:val="both"/>
              <w:rPr>
                <w:rFonts w:hint="eastAsia" w:ascii="Nimbus Roman" w:hAnsi="Nimbus Roman" w:eastAsia="仿宋_GB2312" w:cs="Times New Roman"/>
                <w:sz w:val="28"/>
                <w:szCs w:val="28"/>
              </w:rPr>
            </w:pPr>
          </w:p>
        </w:tc>
        <w:tc>
          <w:tcPr>
            <w:tcW w:w="1297" w:type="pct"/>
            <w:vMerge w:val="continue"/>
            <w:vAlign w:val="center"/>
          </w:tcPr>
          <w:p>
            <w:pPr>
              <w:widowControl/>
              <w:snapToGrid w:val="0"/>
              <w:spacing w:after="0" w:line="240" w:lineRule="auto"/>
              <w:jc w:val="both"/>
              <w:outlineLvl w:val="1"/>
              <w:rPr>
                <w:rFonts w:hint="eastAsia" w:ascii="Nimbus Roman" w:hAnsi="Nimbus Roman" w:eastAsia="仿宋_GB2312" w:cs="仿宋_GB2312"/>
                <w:sz w:val="28"/>
                <w:szCs w:val="28"/>
              </w:rPr>
            </w:pPr>
          </w:p>
        </w:tc>
        <w:tc>
          <w:tcPr>
            <w:tcW w:w="314" w:type="pct"/>
            <w:vAlign w:val="center"/>
          </w:tcPr>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一般</w:t>
            </w:r>
          </w:p>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处罚</w:t>
            </w:r>
          </w:p>
        </w:tc>
        <w:tc>
          <w:tcPr>
            <w:tcW w:w="353"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情节</w:t>
            </w:r>
          </w:p>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一般</w:t>
            </w:r>
          </w:p>
        </w:tc>
        <w:tc>
          <w:tcPr>
            <w:tcW w:w="114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民航生产经营单位的主要负责人未履行本规定的安全生产管理职责有2项的。</w:t>
            </w:r>
          </w:p>
        </w:tc>
        <w:tc>
          <w:tcPr>
            <w:tcW w:w="102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责令限期改正，处3万元以上4万元以下的罚款；逾期未改正的，处7万元以上9万元以下的罚款，责令生产经营单位停产停业整顿。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5" w:hRule="atLeast"/>
        </w:trPr>
        <w:tc>
          <w:tcPr>
            <w:tcW w:w="262" w:type="pct"/>
            <w:vMerge w:val="continue"/>
            <w:vAlign w:val="center"/>
          </w:tcPr>
          <w:p>
            <w:pPr>
              <w:snapToGrid w:val="0"/>
              <w:spacing w:after="0" w:line="240" w:lineRule="auto"/>
              <w:jc w:val="center"/>
              <w:rPr>
                <w:rFonts w:hint="eastAsia" w:ascii="Nimbus Roman" w:hAnsi="Nimbus Roman" w:eastAsia="仿宋_GB2312" w:cs="Times New Roman"/>
                <w:sz w:val="28"/>
                <w:szCs w:val="28"/>
              </w:rPr>
            </w:pPr>
          </w:p>
        </w:tc>
        <w:tc>
          <w:tcPr>
            <w:tcW w:w="603" w:type="pct"/>
            <w:vMerge w:val="continue"/>
            <w:vAlign w:val="center"/>
          </w:tcPr>
          <w:p>
            <w:pPr>
              <w:snapToGrid w:val="0"/>
              <w:spacing w:after="0" w:line="240" w:lineRule="auto"/>
              <w:jc w:val="both"/>
              <w:rPr>
                <w:rFonts w:hint="eastAsia" w:ascii="Nimbus Roman" w:hAnsi="Nimbus Roman" w:eastAsia="仿宋_GB2312" w:cs="Times New Roman"/>
                <w:sz w:val="28"/>
                <w:szCs w:val="28"/>
              </w:rPr>
            </w:pPr>
          </w:p>
        </w:tc>
        <w:tc>
          <w:tcPr>
            <w:tcW w:w="1297" w:type="pct"/>
            <w:vMerge w:val="continue"/>
            <w:vAlign w:val="center"/>
          </w:tcPr>
          <w:p>
            <w:pPr>
              <w:widowControl/>
              <w:snapToGrid w:val="0"/>
              <w:spacing w:after="0" w:line="240" w:lineRule="auto"/>
              <w:jc w:val="both"/>
              <w:outlineLvl w:val="1"/>
              <w:rPr>
                <w:rFonts w:hint="eastAsia" w:ascii="Nimbus Roman" w:hAnsi="Nimbus Roman" w:eastAsia="仿宋_GB2312" w:cs="仿宋_GB2312"/>
                <w:sz w:val="28"/>
                <w:szCs w:val="28"/>
              </w:rPr>
            </w:pPr>
          </w:p>
        </w:tc>
        <w:tc>
          <w:tcPr>
            <w:tcW w:w="314" w:type="pct"/>
            <w:vAlign w:val="center"/>
          </w:tcPr>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从重</w:t>
            </w:r>
          </w:p>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处罚</w:t>
            </w:r>
          </w:p>
        </w:tc>
        <w:tc>
          <w:tcPr>
            <w:tcW w:w="353"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情节</w:t>
            </w:r>
          </w:p>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严重</w:t>
            </w:r>
          </w:p>
        </w:tc>
        <w:tc>
          <w:tcPr>
            <w:tcW w:w="114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1.民航生产经营单位的主要负责人未履行本规定的安全生产管理职责有3项以上的。</w:t>
            </w:r>
          </w:p>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theme="minorEastAsia"/>
                <w:sz w:val="28"/>
                <w:szCs w:val="28"/>
                <w14:ligatures w14:val="none"/>
              </w:rPr>
              <w:t>2.</w:t>
            </w:r>
            <w:r>
              <w:rPr>
                <w:rFonts w:ascii="Nimbus Roman" w:hAnsi="Nimbus Roman" w:eastAsia="仿宋_GB2312" w:cstheme="minorEastAsia"/>
                <w:sz w:val="28"/>
                <w:szCs w:val="28"/>
                <w14:ligatures w14:val="none"/>
              </w:rPr>
              <w:t>非法设立的民航生产经营单位和未取得安全生产相关证照或者超许可范围开展民航生产经营活动的民航生产经营单位的主</w:t>
            </w:r>
            <w:r>
              <w:rPr>
                <w:rFonts w:hint="eastAsia" w:ascii="Nimbus Roman" w:hAnsi="Nimbus Roman" w:eastAsia="仿宋_GB2312" w:cstheme="minorEastAsia"/>
                <w:sz w:val="28"/>
                <w:szCs w:val="28"/>
                <w14:ligatures w14:val="none"/>
              </w:rPr>
              <w:t>要负责人未履行</w:t>
            </w:r>
            <w:r>
              <w:rPr>
                <w:rFonts w:hint="eastAsia" w:ascii="Nimbus Roman" w:hAnsi="Nimbus Roman" w:eastAsia="仿宋_GB2312" w:cs="仿宋_GB2312"/>
                <w:sz w:val="28"/>
                <w:szCs w:val="28"/>
              </w:rPr>
              <w:t>本规定的安全生产管理职责有1项以上的。</w:t>
            </w:r>
          </w:p>
        </w:tc>
        <w:tc>
          <w:tcPr>
            <w:tcW w:w="102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责令限期改正，处4万元以上5万元以下的罚款；逾期未改正的，处9万元以上10万元以下的罚款，责令生产经营单位停产停业整顿。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 w:type="pct"/>
            <w:vMerge w:val="continue"/>
            <w:vAlign w:val="center"/>
          </w:tcPr>
          <w:p>
            <w:pPr>
              <w:snapToGrid w:val="0"/>
              <w:spacing w:after="0" w:line="240" w:lineRule="auto"/>
              <w:jc w:val="center"/>
              <w:rPr>
                <w:rFonts w:hint="eastAsia" w:ascii="Nimbus Roman" w:hAnsi="Nimbus Roman" w:eastAsia="仿宋_GB2312" w:cs="Times New Roman"/>
                <w:sz w:val="28"/>
                <w:szCs w:val="28"/>
              </w:rPr>
            </w:pPr>
          </w:p>
        </w:tc>
        <w:tc>
          <w:tcPr>
            <w:tcW w:w="603" w:type="pct"/>
            <w:vMerge w:val="restart"/>
            <w:vAlign w:val="center"/>
          </w:tcPr>
          <w:p>
            <w:pPr>
              <w:snapToGrid w:val="0"/>
              <w:spacing w:after="0" w:line="240" w:lineRule="auto"/>
              <w:jc w:val="both"/>
              <w:rPr>
                <w:rFonts w:hint="eastAsia" w:ascii="Nimbus Roman" w:hAnsi="Nimbus Roman" w:eastAsia="仿宋_GB2312" w:cs="Times New Roman"/>
                <w:sz w:val="28"/>
                <w:szCs w:val="28"/>
              </w:rPr>
            </w:pPr>
            <w:r>
              <w:rPr>
                <w:rFonts w:hint="eastAsia" w:ascii="Nimbus Roman" w:hAnsi="Nimbus Roman" w:eastAsia="仿宋_GB2312" w:cs="仿宋_GB2312"/>
                <w:sz w:val="28"/>
                <w:szCs w:val="28"/>
              </w:rPr>
              <w:t>未建立安全风险分级管控制度或者未按照安全风险分级采取相应管控措施的</w:t>
            </w:r>
          </w:p>
        </w:tc>
        <w:tc>
          <w:tcPr>
            <w:tcW w:w="1297" w:type="pct"/>
            <w:vMerge w:val="restart"/>
            <w:vAlign w:val="center"/>
          </w:tcPr>
          <w:p>
            <w:pPr>
              <w:widowControl/>
              <w:snapToGrid w:val="0"/>
              <w:spacing w:after="0" w:line="240" w:lineRule="auto"/>
              <w:jc w:val="both"/>
              <w:outlineLvl w:val="1"/>
              <w:rPr>
                <w:rFonts w:hint="eastAsia" w:ascii="Nimbus Roman" w:hAnsi="Nimbus Roman" w:eastAsia="仿宋_GB2312" w:cs="仿宋_GB2312"/>
                <w:sz w:val="28"/>
                <w:szCs w:val="28"/>
              </w:rPr>
            </w:pPr>
            <w:bookmarkStart w:id="10" w:name="OLE_LINK15"/>
            <w:r>
              <w:rPr>
                <w:rFonts w:hint="eastAsia" w:ascii="Nimbus Roman" w:hAnsi="Nimbus Roman" w:eastAsia="仿宋_GB2312" w:cs="仿宋_GB2312"/>
                <w:sz w:val="28"/>
                <w:szCs w:val="28"/>
              </w:rPr>
              <w:t>《民用航空安全管理规定》</w:t>
            </w:r>
            <w:bookmarkEnd w:id="10"/>
            <w:r>
              <w:rPr>
                <w:rFonts w:hint="eastAsia" w:ascii="Nimbus Roman" w:hAnsi="Nimbus Roman" w:eastAsia="仿宋_GB2312" w:cs="仿宋_GB2312"/>
                <w:sz w:val="28"/>
                <w:szCs w:val="28"/>
              </w:rPr>
              <w:t>第七条 民航生产经营单位应当明确建立本单位安全风险分级管控制度。民航生产经营单位应当按照安全风险分级采取相应的管控措施。</w:t>
            </w:r>
          </w:p>
          <w:p>
            <w:pPr>
              <w:widowControl/>
              <w:snapToGrid w:val="0"/>
              <w:spacing w:after="0" w:line="240" w:lineRule="auto"/>
              <w:jc w:val="both"/>
              <w:outlineLvl w:val="1"/>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《民用航空安全管理规定》第三十九条 民航生产经营单位有下列行为之一的，由民航地区管理局依照《中华人民共和国安全生产法》第一百零一条规定处理：（一）违反本规定第七条，未建立安全风险分级管控制度或者未按照安全风险分级采取相应管控措施的。</w:t>
            </w:r>
          </w:p>
          <w:p>
            <w:pPr>
              <w:widowControl/>
              <w:snapToGrid w:val="0"/>
              <w:spacing w:after="0" w:line="240" w:lineRule="auto"/>
              <w:jc w:val="both"/>
              <w:outlineLvl w:val="1"/>
              <w:rPr>
                <w:rFonts w:hint="eastAsia" w:ascii="Nimbus Roman" w:hAnsi="Nimbus Roman" w:eastAsia="仿宋_GB2312" w:cs="仿宋_GB2312"/>
                <w:sz w:val="28"/>
                <w:szCs w:val="28"/>
              </w:rPr>
            </w:pPr>
            <w:r>
              <w:rPr>
                <w:rFonts w:hint="eastAsia" w:ascii="Nimbus Roman" w:hAnsi="Nimbus Roman" w:eastAsia="仿宋_GB2312" w:cs="仿宋_GB2312"/>
                <w:sz w:val="28"/>
                <w:szCs w:val="28"/>
              </w:rPr>
              <w:t>《中华人民共和国安全生产法》第一百零一条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四）</w:t>
            </w:r>
            <w:bookmarkStart w:id="11" w:name="OLE_LINK33"/>
            <w:r>
              <w:rPr>
                <w:rFonts w:hint="eastAsia" w:ascii="Nimbus Roman" w:hAnsi="Nimbus Roman" w:eastAsia="仿宋_GB2312" w:cs="仿宋_GB2312"/>
                <w:sz w:val="28"/>
                <w:szCs w:val="28"/>
              </w:rPr>
              <w:t>未建立安全风险分级管控制度或者未按照安全风险分级采取相应管控措施的</w:t>
            </w:r>
            <w:bookmarkEnd w:id="11"/>
            <w:r>
              <w:rPr>
                <w:rFonts w:hint="eastAsia" w:ascii="Nimbus Roman" w:hAnsi="Nimbus Roman" w:eastAsia="仿宋_GB2312" w:cs="仿宋_GB2312"/>
                <w:sz w:val="28"/>
                <w:szCs w:val="28"/>
              </w:rPr>
              <w:t>。</w:t>
            </w:r>
          </w:p>
        </w:tc>
        <w:tc>
          <w:tcPr>
            <w:tcW w:w="314" w:type="pct"/>
            <w:vAlign w:val="center"/>
          </w:tcPr>
          <w:p>
            <w:pPr>
              <w:snapToGrid w:val="0"/>
              <w:spacing w:after="0" w:line="240" w:lineRule="auto"/>
              <w:jc w:val="center"/>
              <w:rPr>
                <w:rFonts w:hint="eastAsia" w:ascii="Nimbus Roman" w:hAnsi="Nimbus Roman" w:eastAsia="仿宋_GB2312" w:cs="Times New Roman"/>
                <w:sz w:val="28"/>
                <w:szCs w:val="28"/>
              </w:rPr>
            </w:pPr>
          </w:p>
          <w:p>
            <w:pPr>
              <w:snapToGrid w:val="0"/>
              <w:spacing w:after="0" w:line="240" w:lineRule="auto"/>
              <w:jc w:val="center"/>
              <w:rPr>
                <w:rFonts w:hint="eastAsia" w:ascii="Nimbus Roman" w:hAnsi="Nimbus Roman" w:eastAsia="仿宋_GB2312" w:cs="Times New Roman"/>
                <w:sz w:val="28"/>
                <w:szCs w:val="28"/>
              </w:rPr>
            </w:pPr>
          </w:p>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从轻</w:t>
            </w:r>
          </w:p>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处罚</w:t>
            </w:r>
          </w:p>
        </w:tc>
        <w:tc>
          <w:tcPr>
            <w:tcW w:w="353" w:type="pct"/>
            <w:vAlign w:val="center"/>
          </w:tcPr>
          <w:p>
            <w:pPr>
              <w:snapToGrid w:val="0"/>
              <w:spacing w:after="0" w:line="240" w:lineRule="auto"/>
              <w:jc w:val="both"/>
              <w:rPr>
                <w:rFonts w:hint="eastAsia" w:ascii="Nimbus Roman" w:hAnsi="Nimbus Roman" w:eastAsia="仿宋_GB2312" w:cs="仿宋_GB2312"/>
                <w:sz w:val="28"/>
                <w:szCs w:val="28"/>
              </w:rPr>
            </w:pPr>
          </w:p>
          <w:p>
            <w:pPr>
              <w:snapToGrid w:val="0"/>
              <w:spacing w:after="0" w:line="240" w:lineRule="auto"/>
              <w:jc w:val="both"/>
              <w:rPr>
                <w:rFonts w:hint="eastAsia" w:ascii="Nimbus Roman" w:hAnsi="Nimbus Roman" w:eastAsia="仿宋_GB2312" w:cs="仿宋_GB2312"/>
                <w:sz w:val="28"/>
                <w:szCs w:val="28"/>
              </w:rPr>
            </w:pPr>
          </w:p>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情节</w:t>
            </w:r>
          </w:p>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较轻</w:t>
            </w:r>
          </w:p>
        </w:tc>
        <w:tc>
          <w:tcPr>
            <w:tcW w:w="1144" w:type="pct"/>
            <w:vAlign w:val="center"/>
          </w:tcPr>
          <w:p>
            <w:pPr>
              <w:snapToGrid w:val="0"/>
              <w:spacing w:after="0" w:line="240" w:lineRule="auto"/>
              <w:jc w:val="both"/>
              <w:rPr>
                <w:rFonts w:hint="eastAsia" w:ascii="Nimbus Roman" w:hAnsi="Nimbus Roman" w:eastAsia="仿宋_GB2312" w:cs="仿宋_GB2312"/>
                <w:sz w:val="28"/>
                <w:szCs w:val="28"/>
              </w:rPr>
            </w:pPr>
            <w:bookmarkStart w:id="12" w:name="OLE_LINK3"/>
            <w:r>
              <w:rPr>
                <w:rFonts w:ascii="Nimbus Roman" w:hAnsi="Nimbus Roman" w:eastAsia="仿宋_GB2312" w:cs="Times New Roman"/>
                <w:sz w:val="28"/>
                <w:szCs w:val="28"/>
              </w:rPr>
              <w:t>大型飞机公共航空运输承运人、小型商业运输运营人、运输机场</w:t>
            </w:r>
            <w:r>
              <w:rPr>
                <w:rFonts w:hint="eastAsia" w:ascii="Nimbus Roman" w:hAnsi="Nimbus Roman" w:eastAsia="仿宋_GB2312" w:cs="仿宋_GB2312"/>
                <w:sz w:val="28"/>
                <w:szCs w:val="28"/>
              </w:rPr>
              <w:t>以外的从业人员不满100人的其他民航生产经营单位</w:t>
            </w:r>
            <w:bookmarkEnd w:id="12"/>
            <w:r>
              <w:rPr>
                <w:rFonts w:hint="eastAsia" w:ascii="Nimbus Roman" w:hAnsi="Nimbus Roman" w:eastAsia="仿宋_GB2312" w:cs="仿宋_GB2312"/>
                <w:sz w:val="28"/>
                <w:szCs w:val="28"/>
              </w:rPr>
              <w:t>，未建立安全风险分级管控制度或者未按照安全风险分级采取相应管控措施的。</w:t>
            </w:r>
          </w:p>
        </w:tc>
        <w:tc>
          <w:tcPr>
            <w:tcW w:w="102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责令限期改正，处2万元以下的罚款；逾期未改正的，责令停产停业整顿，并处10万元以上12万元以下的罚款，对其直接负责的主管人员和其他直接责任人员处2万元以上3万元以下的罚款。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 w:type="pct"/>
            <w:vMerge w:val="continue"/>
            <w:vAlign w:val="center"/>
          </w:tcPr>
          <w:p>
            <w:pPr>
              <w:snapToGrid w:val="0"/>
              <w:spacing w:after="0" w:line="240" w:lineRule="auto"/>
              <w:jc w:val="center"/>
              <w:rPr>
                <w:rFonts w:hint="eastAsia" w:ascii="Nimbus Roman" w:hAnsi="Nimbus Roman" w:eastAsia="仿宋_GB2312" w:cs="Times New Roman"/>
                <w:sz w:val="28"/>
                <w:szCs w:val="28"/>
              </w:rPr>
            </w:pPr>
          </w:p>
        </w:tc>
        <w:tc>
          <w:tcPr>
            <w:tcW w:w="603" w:type="pct"/>
            <w:vMerge w:val="continue"/>
            <w:vAlign w:val="center"/>
          </w:tcPr>
          <w:p>
            <w:pPr>
              <w:snapToGrid w:val="0"/>
              <w:spacing w:after="0" w:line="240" w:lineRule="auto"/>
              <w:jc w:val="both"/>
              <w:rPr>
                <w:rFonts w:hint="eastAsia" w:ascii="Nimbus Roman" w:hAnsi="Nimbus Roman" w:eastAsia="仿宋_GB2312" w:cs="仿宋_GB2312"/>
                <w:sz w:val="28"/>
                <w:szCs w:val="28"/>
              </w:rPr>
            </w:pPr>
          </w:p>
        </w:tc>
        <w:tc>
          <w:tcPr>
            <w:tcW w:w="1297" w:type="pct"/>
            <w:vMerge w:val="continue"/>
            <w:vAlign w:val="center"/>
          </w:tcPr>
          <w:p>
            <w:pPr>
              <w:widowControl/>
              <w:snapToGrid w:val="0"/>
              <w:spacing w:after="0" w:line="240" w:lineRule="auto"/>
              <w:jc w:val="both"/>
              <w:outlineLvl w:val="1"/>
              <w:rPr>
                <w:rFonts w:hint="eastAsia" w:ascii="Nimbus Roman" w:hAnsi="Nimbus Roman" w:eastAsia="仿宋_GB2312" w:cs="仿宋_GB2312"/>
                <w:sz w:val="28"/>
                <w:szCs w:val="28"/>
              </w:rPr>
            </w:pPr>
          </w:p>
        </w:tc>
        <w:tc>
          <w:tcPr>
            <w:tcW w:w="314" w:type="pct"/>
            <w:vAlign w:val="center"/>
          </w:tcPr>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一般</w:t>
            </w:r>
          </w:p>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处罚</w:t>
            </w:r>
          </w:p>
        </w:tc>
        <w:tc>
          <w:tcPr>
            <w:tcW w:w="353" w:type="pct"/>
            <w:vAlign w:val="center"/>
          </w:tcPr>
          <w:p>
            <w:pPr>
              <w:snapToGrid w:val="0"/>
              <w:spacing w:after="0" w:line="240" w:lineRule="auto"/>
              <w:jc w:val="both"/>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情节</w:t>
            </w:r>
          </w:p>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Times New Roman"/>
                <w:sz w:val="28"/>
                <w:szCs w:val="28"/>
              </w:rPr>
              <w:t>一般</w:t>
            </w:r>
          </w:p>
        </w:tc>
        <w:tc>
          <w:tcPr>
            <w:tcW w:w="1144" w:type="pct"/>
            <w:vAlign w:val="center"/>
          </w:tcPr>
          <w:p>
            <w:pPr>
              <w:snapToGrid w:val="0"/>
              <w:spacing w:after="0" w:line="240" w:lineRule="auto"/>
              <w:jc w:val="both"/>
              <w:rPr>
                <w:rFonts w:hint="eastAsia" w:ascii="Nimbus Roman" w:hAnsi="Nimbus Roman" w:eastAsia="仿宋_GB2312" w:cs="仿宋_GB2312"/>
                <w:sz w:val="28"/>
                <w:szCs w:val="28"/>
              </w:rPr>
            </w:pPr>
            <w:r>
              <w:rPr>
                <w:rFonts w:ascii="Nimbus Roman" w:hAnsi="Nimbus Roman" w:eastAsia="仿宋_GB2312" w:cs="Times New Roman"/>
                <w:sz w:val="28"/>
                <w:szCs w:val="28"/>
              </w:rPr>
              <w:t>大型飞机公共航空运输承运人、小型商业运输运营人、运输机场</w:t>
            </w:r>
            <w:r>
              <w:rPr>
                <w:rFonts w:hint="eastAsia" w:ascii="Nimbus Roman" w:hAnsi="Nimbus Roman" w:eastAsia="仿宋_GB2312" w:cs="仿宋_GB2312"/>
                <w:sz w:val="28"/>
                <w:szCs w:val="28"/>
              </w:rPr>
              <w:t>，以及从业人员100人以上的其他民航生产经营单位未建立安全风险分级管控制度或者未按照安全风险分级采取相应管控措施的。</w:t>
            </w:r>
          </w:p>
        </w:tc>
        <w:tc>
          <w:tcPr>
            <w:tcW w:w="102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责令限期改正，处2万元以上5万元以下的罚款；逾期未改正的，责令停产停业整顿，并处12万元以上15万元以下的罚款，对其直接负责的主管人员和其他直接责任人员处3万元以上4万元以下的罚款。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 w:type="pct"/>
            <w:vMerge w:val="continue"/>
            <w:vAlign w:val="center"/>
          </w:tcPr>
          <w:p>
            <w:pPr>
              <w:snapToGrid w:val="0"/>
              <w:spacing w:after="0" w:line="240" w:lineRule="auto"/>
              <w:jc w:val="center"/>
              <w:rPr>
                <w:rFonts w:hint="eastAsia" w:ascii="Nimbus Roman" w:hAnsi="Nimbus Roman" w:eastAsia="仿宋_GB2312" w:cs="Times New Roman"/>
                <w:sz w:val="28"/>
                <w:szCs w:val="28"/>
              </w:rPr>
            </w:pPr>
          </w:p>
        </w:tc>
        <w:tc>
          <w:tcPr>
            <w:tcW w:w="603" w:type="pct"/>
            <w:vMerge w:val="continue"/>
            <w:vAlign w:val="center"/>
          </w:tcPr>
          <w:p>
            <w:pPr>
              <w:snapToGrid w:val="0"/>
              <w:spacing w:after="0" w:line="240" w:lineRule="auto"/>
              <w:jc w:val="both"/>
              <w:rPr>
                <w:rFonts w:hint="eastAsia" w:ascii="Nimbus Roman" w:hAnsi="Nimbus Roman" w:eastAsia="仿宋_GB2312" w:cs="仿宋_GB2312"/>
                <w:sz w:val="28"/>
                <w:szCs w:val="28"/>
              </w:rPr>
            </w:pPr>
          </w:p>
        </w:tc>
        <w:tc>
          <w:tcPr>
            <w:tcW w:w="1297" w:type="pct"/>
            <w:vMerge w:val="continue"/>
            <w:vAlign w:val="center"/>
          </w:tcPr>
          <w:p>
            <w:pPr>
              <w:widowControl/>
              <w:snapToGrid w:val="0"/>
              <w:spacing w:after="0" w:line="240" w:lineRule="auto"/>
              <w:jc w:val="both"/>
              <w:outlineLvl w:val="1"/>
              <w:rPr>
                <w:rFonts w:hint="eastAsia" w:ascii="Nimbus Roman" w:hAnsi="Nimbus Roman" w:eastAsia="仿宋_GB2312" w:cs="仿宋_GB2312"/>
                <w:sz w:val="28"/>
                <w:szCs w:val="28"/>
              </w:rPr>
            </w:pPr>
          </w:p>
        </w:tc>
        <w:tc>
          <w:tcPr>
            <w:tcW w:w="314" w:type="pct"/>
            <w:vAlign w:val="center"/>
          </w:tcPr>
          <w:p>
            <w:pPr>
              <w:snapToGrid w:val="0"/>
              <w:spacing w:after="0" w:line="240" w:lineRule="auto"/>
              <w:jc w:val="center"/>
              <w:rPr>
                <w:rFonts w:hint="eastAsia" w:ascii="Nimbus Roman" w:hAnsi="Nimbus Roman" w:eastAsia="仿宋_GB2312" w:cs="Times New Roman"/>
                <w:sz w:val="28"/>
                <w:szCs w:val="28"/>
              </w:rPr>
            </w:pPr>
          </w:p>
          <w:p>
            <w:pPr>
              <w:snapToGrid w:val="0"/>
              <w:spacing w:after="0" w:line="240" w:lineRule="auto"/>
              <w:jc w:val="center"/>
              <w:rPr>
                <w:rFonts w:hint="eastAsia" w:ascii="Nimbus Roman" w:hAnsi="Nimbus Roman" w:eastAsia="仿宋_GB2312" w:cs="Times New Roman"/>
                <w:sz w:val="28"/>
                <w:szCs w:val="28"/>
              </w:rPr>
            </w:pPr>
          </w:p>
          <w:p>
            <w:pPr>
              <w:snapToGrid w:val="0"/>
              <w:spacing w:after="0" w:line="240" w:lineRule="auto"/>
              <w:jc w:val="center"/>
              <w:rPr>
                <w:rFonts w:hint="eastAsia" w:ascii="Nimbus Roman" w:hAnsi="Nimbus Roman" w:eastAsia="仿宋_GB2312" w:cs="Times New Roman"/>
                <w:sz w:val="28"/>
                <w:szCs w:val="28"/>
              </w:rPr>
            </w:pPr>
          </w:p>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从重</w:t>
            </w:r>
          </w:p>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处罚</w:t>
            </w:r>
          </w:p>
        </w:tc>
        <w:tc>
          <w:tcPr>
            <w:tcW w:w="353" w:type="pct"/>
            <w:vAlign w:val="center"/>
          </w:tcPr>
          <w:p>
            <w:pPr>
              <w:snapToGrid w:val="0"/>
              <w:spacing w:after="0" w:line="240" w:lineRule="auto"/>
              <w:jc w:val="both"/>
              <w:rPr>
                <w:rFonts w:hint="eastAsia" w:ascii="Nimbus Roman" w:hAnsi="Nimbus Roman" w:eastAsia="仿宋_GB2312" w:cs="仿宋_GB2312"/>
                <w:sz w:val="28"/>
                <w:szCs w:val="28"/>
              </w:rPr>
            </w:pPr>
          </w:p>
          <w:p>
            <w:pPr>
              <w:snapToGrid w:val="0"/>
              <w:spacing w:after="0" w:line="240" w:lineRule="auto"/>
              <w:jc w:val="both"/>
              <w:rPr>
                <w:rFonts w:hint="eastAsia" w:ascii="Nimbus Roman" w:hAnsi="Nimbus Roman" w:eastAsia="仿宋_GB2312" w:cs="仿宋_GB2312"/>
                <w:sz w:val="28"/>
                <w:szCs w:val="28"/>
              </w:rPr>
            </w:pPr>
          </w:p>
          <w:p>
            <w:pPr>
              <w:snapToGrid w:val="0"/>
              <w:spacing w:after="0" w:line="240" w:lineRule="auto"/>
              <w:jc w:val="both"/>
              <w:rPr>
                <w:rFonts w:hint="eastAsia" w:ascii="Nimbus Roman" w:hAnsi="Nimbus Roman" w:eastAsia="仿宋_GB2312" w:cs="仿宋_GB2312"/>
                <w:sz w:val="28"/>
                <w:szCs w:val="28"/>
              </w:rPr>
            </w:pPr>
          </w:p>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情节</w:t>
            </w:r>
          </w:p>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严重</w:t>
            </w:r>
          </w:p>
        </w:tc>
        <w:tc>
          <w:tcPr>
            <w:tcW w:w="114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1.民航生产经营单位</w:t>
            </w:r>
            <w:r>
              <w:rPr>
                <w:rFonts w:ascii="Nimbus Roman" w:hAnsi="Nimbus Roman" w:eastAsia="仿宋_GB2312" w:cs="仿宋_GB2312"/>
                <w:sz w:val="28"/>
                <w:szCs w:val="28"/>
              </w:rPr>
              <w:t>未建立安全风险分级管控制度</w:t>
            </w:r>
            <w:r>
              <w:rPr>
                <w:rFonts w:hint="eastAsia" w:ascii="Nimbus Roman" w:hAnsi="Nimbus Roman" w:eastAsia="仿宋_GB2312" w:cs="仿宋_GB2312"/>
                <w:sz w:val="28"/>
                <w:szCs w:val="28"/>
              </w:rPr>
              <w:t>，且</w:t>
            </w:r>
            <w:r>
              <w:rPr>
                <w:rFonts w:ascii="Nimbus Roman" w:hAnsi="Nimbus Roman" w:eastAsia="仿宋_GB2312" w:cs="仿宋_GB2312"/>
                <w:sz w:val="28"/>
                <w:szCs w:val="28"/>
              </w:rPr>
              <w:t>未按照安全风险分级采取相应管控措施的</w:t>
            </w:r>
            <w:r>
              <w:rPr>
                <w:rFonts w:hint="eastAsia" w:ascii="Nimbus Roman" w:hAnsi="Nimbus Roman" w:eastAsia="仿宋_GB2312" w:cs="仿宋_GB2312"/>
                <w:sz w:val="28"/>
                <w:szCs w:val="28"/>
              </w:rPr>
              <w:t>。</w:t>
            </w:r>
          </w:p>
          <w:p>
            <w:pPr>
              <w:snapToGrid w:val="0"/>
              <w:spacing w:after="0" w:line="240" w:lineRule="auto"/>
              <w:jc w:val="both"/>
              <w:rPr>
                <w:rFonts w:hint="eastAsia" w:ascii="Nimbus Roman" w:hAnsi="Nimbus Roman" w:eastAsia="仿宋_GB2312" w:cs="仿宋_GB2312"/>
                <w:sz w:val="28"/>
                <w:szCs w:val="28"/>
              </w:rPr>
            </w:pPr>
            <w:bookmarkStart w:id="13" w:name="OLE_LINK4"/>
            <w:r>
              <w:rPr>
                <w:rFonts w:hint="eastAsia" w:ascii="Nimbus Roman" w:hAnsi="Nimbus Roman" w:eastAsia="仿宋_GB2312" w:cstheme="minorEastAsia"/>
                <w:sz w:val="28"/>
                <w:szCs w:val="28"/>
                <w14:ligatures w14:val="none"/>
              </w:rPr>
              <w:t>2.非法设立的民航生产经营单位和</w:t>
            </w:r>
            <w:r>
              <w:rPr>
                <w:rFonts w:ascii="Nimbus Roman" w:hAnsi="Nimbus Roman" w:eastAsia="仿宋_GB2312" w:cstheme="minorEastAsia"/>
                <w:sz w:val="28"/>
                <w:szCs w:val="28"/>
                <w14:ligatures w14:val="none"/>
              </w:rPr>
              <w:t>未取得安全生产相关证照或者超许可范围开展民航生产经营活动的民航生产经营单位</w:t>
            </w:r>
            <w:bookmarkEnd w:id="13"/>
            <w:r>
              <w:rPr>
                <w:rFonts w:hint="eastAsia" w:ascii="Nimbus Roman" w:hAnsi="Nimbus Roman" w:eastAsia="仿宋_GB2312" w:cstheme="minorEastAsia"/>
                <w:sz w:val="28"/>
                <w:szCs w:val="28"/>
                <w14:ligatures w14:val="none"/>
              </w:rPr>
              <w:t>，</w:t>
            </w:r>
            <w:r>
              <w:rPr>
                <w:rFonts w:hint="eastAsia" w:ascii="Nimbus Roman" w:hAnsi="Nimbus Roman" w:eastAsia="仿宋_GB2312" w:cs="仿宋_GB2312"/>
                <w:sz w:val="28"/>
                <w:szCs w:val="28"/>
              </w:rPr>
              <w:t>未建立安全风险分级管控制度或者未按照安全风险分级采取相应管控措施的。</w:t>
            </w:r>
          </w:p>
        </w:tc>
        <w:tc>
          <w:tcPr>
            <w:tcW w:w="102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责令限期改正，处5万元以上10万元以下的罚款；逾期未改正的，责令停产停业整顿，并处15万元以上20万元以下的罚款，对其直接负责的主管人员和其他直接责任人员处4万元以上5万元以下的罚款。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 w:type="pct"/>
            <w:vMerge w:val="continue"/>
            <w:vAlign w:val="center"/>
          </w:tcPr>
          <w:p>
            <w:pPr>
              <w:snapToGrid w:val="0"/>
              <w:spacing w:after="0" w:line="240" w:lineRule="auto"/>
              <w:jc w:val="center"/>
              <w:rPr>
                <w:rFonts w:hint="eastAsia" w:ascii="Nimbus Roman" w:hAnsi="Nimbus Roman" w:eastAsia="仿宋_GB2312" w:cs="仿宋_GB2312"/>
                <w:sz w:val="28"/>
                <w:szCs w:val="28"/>
              </w:rPr>
            </w:pPr>
          </w:p>
        </w:tc>
        <w:tc>
          <w:tcPr>
            <w:tcW w:w="603" w:type="pct"/>
            <w:vMerge w:val="restar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未建立安全隐患排查治理制度，或者重大安全隐患排查治理情况未按照规定报告的</w:t>
            </w:r>
          </w:p>
        </w:tc>
        <w:tc>
          <w:tcPr>
            <w:tcW w:w="1297" w:type="pct"/>
            <w:vMerge w:val="restart"/>
            <w:vAlign w:val="center"/>
          </w:tcPr>
          <w:p>
            <w:pPr>
              <w:widowControl/>
              <w:snapToGrid w:val="0"/>
              <w:spacing w:after="0" w:line="240" w:lineRule="auto"/>
              <w:jc w:val="both"/>
              <w:outlineLvl w:val="1"/>
              <w:rPr>
                <w:rFonts w:hint="eastAsia" w:ascii="Nimbus Roman" w:hAnsi="Nimbus Roman" w:eastAsia="仿宋"/>
                <w:sz w:val="30"/>
                <w:szCs w:val="30"/>
              </w:rPr>
            </w:pPr>
            <w:bookmarkStart w:id="14" w:name="OLE_LINK16"/>
            <w:r>
              <w:rPr>
                <w:rFonts w:hint="eastAsia" w:ascii="Nimbus Roman" w:hAnsi="Nimbus Roman" w:eastAsia="仿宋_GB2312" w:cs="仿宋_GB2312"/>
                <w:sz w:val="28"/>
                <w:szCs w:val="28"/>
              </w:rPr>
              <w:t>《民用航空安全管理规定》</w:t>
            </w:r>
            <w:bookmarkEnd w:id="14"/>
            <w:bookmarkStart w:id="15" w:name="OLE_LINK78"/>
            <w:bookmarkStart w:id="16" w:name="_Hlk219288956"/>
            <w:r>
              <w:rPr>
                <w:rFonts w:ascii="Nimbus Roman" w:hAnsi="Nimbus Roman" w:eastAsia="仿宋" w:cs="Calibri"/>
                <w:sz w:val="30"/>
                <w:szCs w:val="30"/>
              </w:rPr>
              <w:t> </w:t>
            </w:r>
            <w:bookmarkEnd w:id="15"/>
            <w:bookmarkStart w:id="17" w:name="OLE_LINK34"/>
            <w:r>
              <w:rPr>
                <w:rFonts w:hint="eastAsia" w:ascii="Nimbus Roman" w:hAnsi="Nimbus Roman" w:eastAsia="仿宋"/>
                <w:sz w:val="30"/>
                <w:szCs w:val="30"/>
              </w:rPr>
              <w:t>第七条</w:t>
            </w:r>
            <w:r>
              <w:rPr>
                <w:rFonts w:ascii="Nimbus Roman" w:hAnsi="Nimbus Roman" w:eastAsia="仿宋" w:cs="Calibri"/>
                <w:sz w:val="30"/>
                <w:szCs w:val="30"/>
              </w:rPr>
              <w:t>  </w:t>
            </w:r>
            <w:r>
              <w:rPr>
                <w:rFonts w:hint="eastAsia" w:ascii="Nimbus Roman" w:hAnsi="Nimbus Roman" w:eastAsia="仿宋_GB2312" w:cs="仿宋_GB2312"/>
                <w:sz w:val="28"/>
                <w:szCs w:val="28"/>
              </w:rPr>
              <w:t>民航生产经营单位应当</w:t>
            </w:r>
            <w:r>
              <w:rPr>
                <w:rFonts w:hint="eastAsia" w:ascii="Nimbus Roman" w:hAnsi="Nimbus Roman" w:eastAsia="仿宋"/>
                <w:sz w:val="30"/>
                <w:szCs w:val="30"/>
              </w:rPr>
              <w:t>建立健全并落实本单位安全隐患排查治理制度，并由主要负责人组织建立并落实相应的机制。民航生产经营单位应当及时发现并采取措施消除安全隐患，报告重大安全隐患排查治理情况，如实记录并通报安全隐患排查治理情况，建立完善本单位安全隐患内部报告奖励机制。</w:t>
            </w:r>
            <w:bookmarkEnd w:id="16"/>
            <w:bookmarkEnd w:id="17"/>
          </w:p>
          <w:p>
            <w:pPr>
              <w:widowControl/>
              <w:snapToGrid w:val="0"/>
              <w:spacing w:after="0" w:line="240" w:lineRule="auto"/>
              <w:jc w:val="both"/>
              <w:outlineLvl w:val="1"/>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《民用航空安全管理规定》第三十九条 民航生产经营单位有下列行为之一的，由民航地区管理局依照《中华人民共和国安全生产法》第一百零一条规定处理：（二）违反本规定第七条，</w:t>
            </w:r>
            <w:bookmarkStart w:id="18" w:name="OLE_LINK174"/>
            <w:r>
              <w:rPr>
                <w:rFonts w:hint="eastAsia" w:ascii="Nimbus Roman" w:hAnsi="Nimbus Roman" w:eastAsia="仿宋_GB2312" w:cs="仿宋_GB2312"/>
                <w:sz w:val="28"/>
                <w:szCs w:val="28"/>
              </w:rPr>
              <w:t>未建立安全隐患排查治理制度，或者重大安全隐患排查治理情况未按照规定报告的</w:t>
            </w:r>
            <w:bookmarkEnd w:id="18"/>
            <w:r>
              <w:rPr>
                <w:rFonts w:hint="eastAsia" w:ascii="Nimbus Roman" w:hAnsi="Nimbus Roman" w:eastAsia="仿宋_GB2312" w:cs="仿宋_GB2312"/>
                <w:sz w:val="28"/>
                <w:szCs w:val="28"/>
              </w:rPr>
              <w:t>。</w:t>
            </w:r>
          </w:p>
          <w:p>
            <w:pPr>
              <w:widowControl/>
              <w:snapToGrid w:val="0"/>
              <w:spacing w:after="0" w:line="240" w:lineRule="auto"/>
              <w:jc w:val="both"/>
              <w:outlineLvl w:val="1"/>
              <w:rPr>
                <w:rFonts w:hint="eastAsia" w:ascii="Nimbus Roman" w:hAnsi="Nimbus Roman" w:eastAsia="仿宋_GB2312" w:cs="仿宋_GB2312"/>
                <w:sz w:val="28"/>
                <w:szCs w:val="28"/>
              </w:rPr>
            </w:pPr>
            <w:r>
              <w:rPr>
                <w:rFonts w:hint="eastAsia" w:ascii="Nimbus Roman" w:hAnsi="Nimbus Roman" w:eastAsia="仿宋_GB2312" w:cs="仿宋_GB2312"/>
                <w:sz w:val="28"/>
                <w:szCs w:val="28"/>
              </w:rPr>
              <w:t>《中华人民共和国安全生产法》第一百零一条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五）未建立事故隐患排查治理制度，或者重大事故隐患排查治理情况未按照规定报告的。</w:t>
            </w:r>
          </w:p>
        </w:tc>
        <w:tc>
          <w:tcPr>
            <w:tcW w:w="314" w:type="pct"/>
            <w:vAlign w:val="center"/>
          </w:tcPr>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从轻</w:t>
            </w:r>
          </w:p>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处罚</w:t>
            </w:r>
          </w:p>
        </w:tc>
        <w:tc>
          <w:tcPr>
            <w:tcW w:w="353"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情节</w:t>
            </w:r>
          </w:p>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较轻</w:t>
            </w:r>
          </w:p>
        </w:tc>
        <w:tc>
          <w:tcPr>
            <w:tcW w:w="114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大型飞机公共航空运输承运人、小型商业运输运营人、运输机场以外的从业人员不满100人的其他民航生产经营单位，未建立安全隐患排查治理制度，或者重大安全隐患排查治理情况未按照规定报告的。</w:t>
            </w:r>
          </w:p>
        </w:tc>
        <w:tc>
          <w:tcPr>
            <w:tcW w:w="102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责令限期改正，处2万元以下的罚款；逾期未改正的，责令停产停业整顿，并处10万元以上12万元以下的罚款，对其直接负责的主管人员和其他直接责任人员处2万元以上3万元以下的罚款。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 w:type="pct"/>
            <w:vMerge w:val="continue"/>
            <w:vAlign w:val="center"/>
          </w:tcPr>
          <w:p>
            <w:pPr>
              <w:snapToGrid w:val="0"/>
              <w:spacing w:after="0" w:line="240" w:lineRule="auto"/>
              <w:jc w:val="center"/>
              <w:rPr>
                <w:rFonts w:hint="eastAsia" w:ascii="Nimbus Roman" w:hAnsi="Nimbus Roman" w:eastAsia="仿宋_GB2312" w:cs="仿宋_GB2312"/>
                <w:sz w:val="28"/>
                <w:szCs w:val="28"/>
              </w:rPr>
            </w:pPr>
          </w:p>
        </w:tc>
        <w:tc>
          <w:tcPr>
            <w:tcW w:w="603" w:type="pct"/>
            <w:vMerge w:val="continue"/>
            <w:vAlign w:val="center"/>
          </w:tcPr>
          <w:p>
            <w:pPr>
              <w:snapToGrid w:val="0"/>
              <w:spacing w:after="0" w:line="240" w:lineRule="auto"/>
              <w:jc w:val="both"/>
              <w:rPr>
                <w:rFonts w:hint="eastAsia" w:ascii="Nimbus Roman" w:hAnsi="Nimbus Roman" w:eastAsia="仿宋_GB2312" w:cs="仿宋_GB2312"/>
                <w:sz w:val="28"/>
                <w:szCs w:val="28"/>
              </w:rPr>
            </w:pPr>
          </w:p>
        </w:tc>
        <w:tc>
          <w:tcPr>
            <w:tcW w:w="1297" w:type="pct"/>
            <w:vMerge w:val="continue"/>
            <w:vAlign w:val="center"/>
          </w:tcPr>
          <w:p>
            <w:pPr>
              <w:widowControl/>
              <w:snapToGrid w:val="0"/>
              <w:spacing w:after="0" w:line="240" w:lineRule="auto"/>
              <w:jc w:val="both"/>
              <w:outlineLvl w:val="1"/>
              <w:rPr>
                <w:rFonts w:hint="eastAsia" w:ascii="Nimbus Roman" w:hAnsi="Nimbus Roman" w:eastAsia="仿宋_GB2312" w:cs="仿宋_GB2312"/>
                <w:sz w:val="28"/>
                <w:szCs w:val="28"/>
              </w:rPr>
            </w:pPr>
          </w:p>
        </w:tc>
        <w:tc>
          <w:tcPr>
            <w:tcW w:w="314" w:type="pct"/>
            <w:vAlign w:val="center"/>
          </w:tcPr>
          <w:p>
            <w:pPr>
              <w:snapToGrid w:val="0"/>
              <w:spacing w:after="0" w:line="240" w:lineRule="auto"/>
              <w:jc w:val="center"/>
              <w:rPr>
                <w:rFonts w:hint="eastAsia" w:ascii="Nimbus Roman" w:hAnsi="Nimbus Roman" w:eastAsia="仿宋_GB2312" w:cs="Times New Roman"/>
                <w:sz w:val="28"/>
                <w:szCs w:val="28"/>
              </w:rPr>
            </w:pPr>
          </w:p>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一般</w:t>
            </w:r>
          </w:p>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处罚</w:t>
            </w:r>
          </w:p>
        </w:tc>
        <w:tc>
          <w:tcPr>
            <w:tcW w:w="353" w:type="pct"/>
            <w:vAlign w:val="center"/>
          </w:tcPr>
          <w:p>
            <w:pPr>
              <w:snapToGrid w:val="0"/>
              <w:spacing w:after="0" w:line="240" w:lineRule="auto"/>
              <w:jc w:val="both"/>
              <w:rPr>
                <w:rFonts w:hint="eastAsia" w:ascii="Nimbus Roman" w:hAnsi="Nimbus Roman" w:eastAsia="仿宋_GB2312" w:cs="仿宋_GB2312"/>
                <w:sz w:val="28"/>
                <w:szCs w:val="28"/>
              </w:rPr>
            </w:pPr>
          </w:p>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情节</w:t>
            </w:r>
          </w:p>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一般</w:t>
            </w:r>
          </w:p>
        </w:tc>
        <w:tc>
          <w:tcPr>
            <w:tcW w:w="114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大型飞机公共航空运输承运人、小型商业运输运营人、运输机场，以及从业人员100人以上的其他民航生产经营单位，未建立安全隐患排查治理制度，或者重大安全隐患排查治理情况未按照规定报告的。</w:t>
            </w:r>
          </w:p>
        </w:tc>
        <w:tc>
          <w:tcPr>
            <w:tcW w:w="102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责令限期改正，处2万元以上5万元以下的罚款；逾期未改正的，责令停产停业整顿，并处12万元以上15万元以下的罚款，对其直接负责的主管人员和其他直接责任人员处3万元以上4万元以下的罚款。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 w:type="pct"/>
            <w:vMerge w:val="continue"/>
            <w:vAlign w:val="center"/>
          </w:tcPr>
          <w:p>
            <w:pPr>
              <w:snapToGrid w:val="0"/>
              <w:spacing w:after="0" w:line="240" w:lineRule="auto"/>
              <w:jc w:val="center"/>
              <w:rPr>
                <w:rFonts w:hint="eastAsia" w:ascii="Nimbus Roman" w:hAnsi="Nimbus Roman" w:eastAsia="仿宋_GB2312" w:cs="仿宋_GB2312"/>
                <w:sz w:val="28"/>
                <w:szCs w:val="28"/>
              </w:rPr>
            </w:pPr>
          </w:p>
        </w:tc>
        <w:tc>
          <w:tcPr>
            <w:tcW w:w="603" w:type="pct"/>
            <w:vMerge w:val="continue"/>
            <w:vAlign w:val="center"/>
          </w:tcPr>
          <w:p>
            <w:pPr>
              <w:snapToGrid w:val="0"/>
              <w:spacing w:after="0" w:line="240" w:lineRule="auto"/>
              <w:jc w:val="both"/>
              <w:rPr>
                <w:rFonts w:hint="eastAsia" w:ascii="Nimbus Roman" w:hAnsi="Nimbus Roman" w:eastAsia="仿宋_GB2312" w:cs="仿宋_GB2312"/>
                <w:sz w:val="28"/>
                <w:szCs w:val="28"/>
              </w:rPr>
            </w:pPr>
          </w:p>
        </w:tc>
        <w:tc>
          <w:tcPr>
            <w:tcW w:w="1297" w:type="pct"/>
            <w:vMerge w:val="continue"/>
            <w:vAlign w:val="center"/>
          </w:tcPr>
          <w:p>
            <w:pPr>
              <w:widowControl/>
              <w:snapToGrid w:val="0"/>
              <w:spacing w:after="0" w:line="240" w:lineRule="auto"/>
              <w:jc w:val="both"/>
              <w:outlineLvl w:val="1"/>
              <w:rPr>
                <w:rFonts w:hint="eastAsia" w:ascii="Nimbus Roman" w:hAnsi="Nimbus Roman" w:eastAsia="仿宋_GB2312" w:cs="仿宋_GB2312"/>
                <w:sz w:val="28"/>
                <w:szCs w:val="28"/>
              </w:rPr>
            </w:pPr>
          </w:p>
        </w:tc>
        <w:tc>
          <w:tcPr>
            <w:tcW w:w="314" w:type="pct"/>
            <w:vAlign w:val="center"/>
          </w:tcPr>
          <w:p>
            <w:pPr>
              <w:snapToGrid w:val="0"/>
              <w:spacing w:after="0" w:line="240" w:lineRule="auto"/>
              <w:ind w:left="-112" w:leftChars="-51" w:firstLine="28" w:firstLineChars="10"/>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从重</w:t>
            </w:r>
          </w:p>
          <w:p>
            <w:pPr>
              <w:snapToGrid w:val="0"/>
              <w:spacing w:after="0" w:line="240" w:lineRule="auto"/>
              <w:ind w:left="-112" w:leftChars="-51" w:firstLine="28" w:firstLineChars="10"/>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处罚</w:t>
            </w:r>
          </w:p>
        </w:tc>
        <w:tc>
          <w:tcPr>
            <w:tcW w:w="353" w:type="pct"/>
            <w:vAlign w:val="center"/>
          </w:tcPr>
          <w:p>
            <w:pPr>
              <w:snapToGrid w:val="0"/>
              <w:spacing w:after="0" w:line="240" w:lineRule="auto"/>
              <w:ind w:firstLine="28"/>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情节</w:t>
            </w:r>
          </w:p>
          <w:p>
            <w:pPr>
              <w:snapToGrid w:val="0"/>
              <w:spacing w:after="0" w:line="240" w:lineRule="auto"/>
              <w:ind w:firstLine="28"/>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严重</w:t>
            </w:r>
          </w:p>
        </w:tc>
        <w:tc>
          <w:tcPr>
            <w:tcW w:w="114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1.民航生产经营单位，未建立安全隐患排查治理制度</w:t>
            </w:r>
            <w:bookmarkStart w:id="19" w:name="OLE_LINK35"/>
            <w:r>
              <w:rPr>
                <w:rFonts w:hint="eastAsia" w:ascii="Nimbus Roman" w:hAnsi="Nimbus Roman" w:eastAsia="仿宋_GB2312" w:cs="仿宋_GB2312"/>
                <w:sz w:val="28"/>
                <w:szCs w:val="28"/>
              </w:rPr>
              <w:t>，且</w:t>
            </w:r>
            <w:bookmarkEnd w:id="19"/>
            <w:r>
              <w:rPr>
                <w:rFonts w:hint="eastAsia" w:ascii="Nimbus Roman" w:hAnsi="Nimbus Roman" w:eastAsia="仿宋_GB2312" w:cs="仿宋_GB2312"/>
                <w:sz w:val="28"/>
                <w:szCs w:val="28"/>
              </w:rPr>
              <w:t>重大安全隐患排查治理情况未按照规定报告的。</w:t>
            </w:r>
          </w:p>
          <w:p>
            <w:pPr>
              <w:snapToGrid w:val="0"/>
              <w:spacing w:after="0" w:line="240" w:lineRule="auto"/>
              <w:jc w:val="both"/>
              <w:rPr>
                <w:rFonts w:hint="eastAsia" w:ascii="Nimbus Roman" w:hAnsi="Nimbus Roman" w:eastAsia="仿宋_GB2312" w:cs="仿宋_GB2312"/>
                <w:sz w:val="28"/>
                <w:szCs w:val="28"/>
              </w:rPr>
            </w:pPr>
            <w:bookmarkStart w:id="20" w:name="OLE_LINK5"/>
            <w:r>
              <w:rPr>
                <w:rFonts w:hint="eastAsia" w:ascii="Nimbus Roman" w:hAnsi="Nimbus Roman" w:eastAsia="仿宋_GB2312" w:cstheme="minorEastAsia"/>
                <w:sz w:val="28"/>
                <w:szCs w:val="28"/>
                <w14:ligatures w14:val="none"/>
              </w:rPr>
              <w:t>2.非法设立的民航生产经营单位和</w:t>
            </w:r>
            <w:r>
              <w:rPr>
                <w:rFonts w:ascii="Nimbus Roman" w:hAnsi="Nimbus Roman" w:eastAsia="仿宋_GB2312" w:cstheme="minorEastAsia"/>
                <w:sz w:val="28"/>
                <w:szCs w:val="28"/>
                <w14:ligatures w14:val="none"/>
              </w:rPr>
              <w:t>未取得安全生产相关证照或者超许可范围开展民航生产经营活动的民航生产经营单位</w:t>
            </w:r>
            <w:bookmarkEnd w:id="20"/>
            <w:r>
              <w:rPr>
                <w:rFonts w:hint="eastAsia" w:ascii="Nimbus Roman" w:hAnsi="Nimbus Roman" w:eastAsia="仿宋_GB2312" w:cstheme="minorEastAsia"/>
                <w:sz w:val="28"/>
                <w:szCs w:val="28"/>
                <w14:ligatures w14:val="none"/>
              </w:rPr>
              <w:t>，</w:t>
            </w:r>
            <w:r>
              <w:rPr>
                <w:rFonts w:hint="eastAsia" w:ascii="Nimbus Roman" w:hAnsi="Nimbus Roman" w:eastAsia="仿宋_GB2312" w:cs="仿宋_GB2312"/>
                <w:sz w:val="28"/>
                <w:szCs w:val="28"/>
              </w:rPr>
              <w:t>未建立安全隐患排查治理制度，或者重大安全隐患排查治理情况未按照规定报告的</w:t>
            </w:r>
            <w:bookmarkStart w:id="21" w:name="OLE_LINK36"/>
            <w:r>
              <w:rPr>
                <w:rFonts w:hint="eastAsia" w:ascii="Nimbus Roman" w:hAnsi="Nimbus Roman" w:eastAsia="仿宋_GB2312" w:cs="仿宋_GB2312"/>
                <w:sz w:val="28"/>
                <w:szCs w:val="28"/>
              </w:rPr>
              <w:t>。</w:t>
            </w:r>
            <w:bookmarkEnd w:id="21"/>
          </w:p>
        </w:tc>
        <w:tc>
          <w:tcPr>
            <w:tcW w:w="102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责令限期改正，处5万元以上10万元以下的罚款；逾期未改正的，责令停产停业整顿，并处15万元以上20万元以下的罚款，对其直接负责的主管人员和其他直接责任人员处4万元以上5万元以下的罚款。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 w:type="pct"/>
            <w:vMerge w:val="continue"/>
            <w:vAlign w:val="center"/>
          </w:tcPr>
          <w:p>
            <w:pPr>
              <w:snapToGrid w:val="0"/>
              <w:spacing w:after="0" w:line="240" w:lineRule="auto"/>
              <w:jc w:val="center"/>
              <w:rPr>
                <w:rFonts w:hint="eastAsia" w:ascii="Nimbus Roman" w:hAnsi="Nimbus Roman" w:eastAsia="仿宋_GB2312" w:cs="仿宋_GB2312"/>
                <w:sz w:val="28"/>
                <w:szCs w:val="28"/>
              </w:rPr>
            </w:pPr>
          </w:p>
        </w:tc>
        <w:tc>
          <w:tcPr>
            <w:tcW w:w="603" w:type="pct"/>
            <w:vMerge w:val="restar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未采取措施消除安全隐患的</w:t>
            </w:r>
          </w:p>
        </w:tc>
        <w:tc>
          <w:tcPr>
            <w:tcW w:w="1297" w:type="pct"/>
            <w:vMerge w:val="restart"/>
            <w:vAlign w:val="center"/>
          </w:tcPr>
          <w:p>
            <w:pPr>
              <w:widowControl/>
              <w:snapToGrid w:val="0"/>
              <w:spacing w:after="0" w:line="240" w:lineRule="auto"/>
              <w:jc w:val="both"/>
              <w:outlineLvl w:val="1"/>
              <w:rPr>
                <w:rFonts w:hint="eastAsia" w:ascii="Nimbus Roman" w:hAnsi="Nimbus Roman" w:eastAsia="仿宋_GB2312" w:cs="仿宋_GB2312"/>
                <w:sz w:val="28"/>
                <w:szCs w:val="28"/>
              </w:rPr>
            </w:pPr>
            <w:bookmarkStart w:id="22" w:name="OLE_LINK17"/>
            <w:r>
              <w:rPr>
                <w:rFonts w:hint="eastAsia" w:ascii="Nimbus Roman" w:hAnsi="Nimbus Roman" w:eastAsia="仿宋_GB2312" w:cs="仿宋_GB2312"/>
                <w:sz w:val="28"/>
                <w:szCs w:val="28"/>
              </w:rPr>
              <w:t>《民用航空安全管理规定》</w:t>
            </w:r>
            <w:bookmarkEnd w:id="22"/>
            <w:r>
              <w:rPr>
                <w:rFonts w:hint="eastAsia" w:ascii="Nimbus Roman" w:hAnsi="Nimbus Roman" w:eastAsia="仿宋_GB2312" w:cs="仿宋_GB2312"/>
                <w:sz w:val="28"/>
                <w:szCs w:val="28"/>
              </w:rPr>
              <w:t>第七条 民航生产经营单位应当</w:t>
            </w:r>
            <w:r>
              <w:rPr>
                <w:rFonts w:ascii="Nimbus Roman" w:hAnsi="Nimbus Roman" w:eastAsia="仿宋_GB2312" w:cs="仿宋_GB2312"/>
                <w:sz w:val="28"/>
                <w:szCs w:val="28"/>
              </w:rPr>
              <w:t>及时发现并采取措施消除安全隐患</w:t>
            </w:r>
            <w:r>
              <w:rPr>
                <w:rFonts w:hint="eastAsia" w:ascii="Nimbus Roman" w:hAnsi="Nimbus Roman" w:eastAsia="仿宋_GB2312" w:cs="仿宋_GB2312"/>
                <w:sz w:val="28"/>
                <w:szCs w:val="28"/>
              </w:rPr>
              <w:t>。</w:t>
            </w:r>
          </w:p>
          <w:p>
            <w:pPr>
              <w:widowControl/>
              <w:snapToGrid w:val="0"/>
              <w:spacing w:after="0" w:line="240" w:lineRule="auto"/>
              <w:jc w:val="both"/>
              <w:outlineLvl w:val="1"/>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《民用航空安全管理规定》第四十条 民航生产经营单位违反本规定第七条，</w:t>
            </w:r>
            <w:bookmarkStart w:id="23" w:name="OLE_LINK180"/>
            <w:r>
              <w:rPr>
                <w:rFonts w:hint="eastAsia" w:ascii="Nimbus Roman" w:hAnsi="Nimbus Roman" w:eastAsia="仿宋_GB2312" w:cs="仿宋_GB2312"/>
                <w:sz w:val="28"/>
                <w:szCs w:val="28"/>
              </w:rPr>
              <w:t>未采取措施消除安全隐患的</w:t>
            </w:r>
            <w:bookmarkEnd w:id="23"/>
            <w:r>
              <w:rPr>
                <w:rFonts w:hint="eastAsia" w:ascii="Nimbus Roman" w:hAnsi="Nimbus Roman" w:eastAsia="仿宋_GB2312" w:cs="仿宋_GB2312"/>
                <w:sz w:val="28"/>
                <w:szCs w:val="28"/>
              </w:rPr>
              <w:t>，由民航地区管理局依照《中华人民共和国安全生产法》第一百零二条规定处理。</w:t>
            </w:r>
          </w:p>
          <w:p>
            <w:pPr>
              <w:widowControl/>
              <w:snapToGrid w:val="0"/>
              <w:spacing w:after="0" w:line="240" w:lineRule="auto"/>
              <w:jc w:val="both"/>
              <w:outlineLvl w:val="1"/>
              <w:rPr>
                <w:rFonts w:hint="eastAsia" w:ascii="Nimbus Roman" w:hAnsi="Nimbus Roman" w:eastAsia="仿宋_GB2312" w:cs="仿宋_GB2312"/>
                <w:sz w:val="28"/>
                <w:szCs w:val="28"/>
              </w:rPr>
            </w:pPr>
            <w:r>
              <w:rPr>
                <w:rFonts w:hint="eastAsia" w:ascii="Nimbus Roman" w:hAnsi="Nimbus Roman" w:eastAsia="仿宋_GB2312" w:cs="仿宋_GB2312"/>
                <w:sz w:val="28"/>
                <w:szCs w:val="28"/>
              </w:rPr>
              <w:t>《中华人民共和国安全生产法》第一百零二条 生产经营单位未采取措施消除事故隐患的，责令立即消除或者限期消除，处五万元以下的罚款；生产经营单位拒不执行的，责令停产停业整顿，对其直接负责的主管人员和其他直接责任人员处五万元以上十万元以下的罚款；构成犯罪的，依照刑法有关规定追究刑事责任。</w:t>
            </w:r>
          </w:p>
        </w:tc>
        <w:tc>
          <w:tcPr>
            <w:tcW w:w="314" w:type="pct"/>
            <w:vAlign w:val="center"/>
          </w:tcPr>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从轻</w:t>
            </w:r>
          </w:p>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处罚</w:t>
            </w:r>
          </w:p>
        </w:tc>
        <w:tc>
          <w:tcPr>
            <w:tcW w:w="353"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情节</w:t>
            </w:r>
          </w:p>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较轻</w:t>
            </w:r>
          </w:p>
        </w:tc>
        <w:tc>
          <w:tcPr>
            <w:tcW w:w="114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民航生产经营单位未对3处以下一般安全隐患采取措施消除的。</w:t>
            </w:r>
          </w:p>
        </w:tc>
        <w:tc>
          <w:tcPr>
            <w:tcW w:w="102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责令立即消除或者限期消除，处2万元以下的罚款；生产经营单位拒不执行的，责令停产停业整顿，对其直接负责的主管人员和其他直接责任人员处5万元以上7万元以下的罚款。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 w:type="pct"/>
            <w:vMerge w:val="continue"/>
            <w:vAlign w:val="center"/>
          </w:tcPr>
          <w:p>
            <w:pPr>
              <w:snapToGrid w:val="0"/>
              <w:spacing w:after="0" w:line="240" w:lineRule="auto"/>
              <w:jc w:val="center"/>
              <w:rPr>
                <w:rFonts w:hint="eastAsia" w:ascii="Nimbus Roman" w:hAnsi="Nimbus Roman" w:eastAsia="仿宋_GB2312" w:cs="仿宋_GB2312"/>
                <w:sz w:val="28"/>
                <w:szCs w:val="28"/>
              </w:rPr>
            </w:pPr>
          </w:p>
        </w:tc>
        <w:tc>
          <w:tcPr>
            <w:tcW w:w="603" w:type="pct"/>
            <w:vMerge w:val="continue"/>
            <w:vAlign w:val="center"/>
          </w:tcPr>
          <w:p>
            <w:pPr>
              <w:snapToGrid w:val="0"/>
              <w:spacing w:after="0" w:line="240" w:lineRule="auto"/>
              <w:jc w:val="both"/>
              <w:rPr>
                <w:rFonts w:hint="eastAsia" w:ascii="Nimbus Roman" w:hAnsi="Nimbus Roman" w:eastAsia="仿宋_GB2312" w:cs="仿宋_GB2312"/>
                <w:sz w:val="28"/>
                <w:szCs w:val="28"/>
              </w:rPr>
            </w:pPr>
          </w:p>
        </w:tc>
        <w:tc>
          <w:tcPr>
            <w:tcW w:w="1297" w:type="pct"/>
            <w:vMerge w:val="continue"/>
            <w:vAlign w:val="center"/>
          </w:tcPr>
          <w:p>
            <w:pPr>
              <w:widowControl/>
              <w:snapToGrid w:val="0"/>
              <w:spacing w:after="0" w:line="240" w:lineRule="auto"/>
              <w:jc w:val="both"/>
              <w:outlineLvl w:val="1"/>
              <w:rPr>
                <w:rFonts w:hint="eastAsia" w:ascii="Nimbus Roman" w:hAnsi="Nimbus Roman" w:eastAsia="仿宋_GB2312" w:cs="仿宋_GB2312"/>
                <w:sz w:val="28"/>
                <w:szCs w:val="28"/>
              </w:rPr>
            </w:pPr>
          </w:p>
        </w:tc>
        <w:tc>
          <w:tcPr>
            <w:tcW w:w="314" w:type="pct"/>
            <w:vAlign w:val="center"/>
          </w:tcPr>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一般处罚</w:t>
            </w:r>
          </w:p>
        </w:tc>
        <w:tc>
          <w:tcPr>
            <w:tcW w:w="353"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情节</w:t>
            </w:r>
          </w:p>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一般</w:t>
            </w:r>
          </w:p>
        </w:tc>
        <w:tc>
          <w:tcPr>
            <w:tcW w:w="114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民航生产经营单位未对4处以上7处以下一般安全隐患或者1处重大安全隐患采取措施消除的。</w:t>
            </w:r>
          </w:p>
        </w:tc>
        <w:tc>
          <w:tcPr>
            <w:tcW w:w="102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责令立即消除或者限期消除，处2万元以上4万元以下的罚款；生产经营单位拒不执行的，责令停产停业整顿，对其直接负责的主管人员和其他直接责任人员处7万元以上9万元以下的罚款。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 w:type="pct"/>
            <w:vMerge w:val="continue"/>
            <w:vAlign w:val="center"/>
          </w:tcPr>
          <w:p>
            <w:pPr>
              <w:snapToGrid w:val="0"/>
              <w:spacing w:after="0" w:line="240" w:lineRule="auto"/>
              <w:jc w:val="center"/>
              <w:rPr>
                <w:rFonts w:hint="eastAsia" w:ascii="Nimbus Roman" w:hAnsi="Nimbus Roman" w:eastAsia="仿宋_GB2312" w:cs="仿宋_GB2312"/>
                <w:sz w:val="28"/>
                <w:szCs w:val="28"/>
              </w:rPr>
            </w:pPr>
          </w:p>
        </w:tc>
        <w:tc>
          <w:tcPr>
            <w:tcW w:w="603" w:type="pct"/>
            <w:vMerge w:val="continue"/>
            <w:vAlign w:val="center"/>
          </w:tcPr>
          <w:p>
            <w:pPr>
              <w:snapToGrid w:val="0"/>
              <w:spacing w:after="0" w:line="240" w:lineRule="auto"/>
              <w:jc w:val="both"/>
              <w:rPr>
                <w:rFonts w:hint="eastAsia" w:ascii="Nimbus Roman" w:hAnsi="Nimbus Roman" w:eastAsia="仿宋_GB2312" w:cs="仿宋_GB2312"/>
                <w:sz w:val="28"/>
                <w:szCs w:val="28"/>
              </w:rPr>
            </w:pPr>
          </w:p>
        </w:tc>
        <w:tc>
          <w:tcPr>
            <w:tcW w:w="1297" w:type="pct"/>
            <w:vMerge w:val="continue"/>
            <w:vAlign w:val="center"/>
          </w:tcPr>
          <w:p>
            <w:pPr>
              <w:widowControl/>
              <w:snapToGrid w:val="0"/>
              <w:spacing w:after="0" w:line="240" w:lineRule="auto"/>
              <w:jc w:val="both"/>
              <w:outlineLvl w:val="1"/>
              <w:rPr>
                <w:rFonts w:hint="eastAsia" w:ascii="Nimbus Roman" w:hAnsi="Nimbus Roman" w:eastAsia="仿宋_GB2312" w:cs="仿宋_GB2312"/>
                <w:sz w:val="28"/>
                <w:szCs w:val="28"/>
              </w:rPr>
            </w:pPr>
          </w:p>
        </w:tc>
        <w:tc>
          <w:tcPr>
            <w:tcW w:w="314" w:type="pct"/>
            <w:vAlign w:val="center"/>
          </w:tcPr>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从重</w:t>
            </w:r>
          </w:p>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处罚</w:t>
            </w:r>
          </w:p>
        </w:tc>
        <w:tc>
          <w:tcPr>
            <w:tcW w:w="353"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情节</w:t>
            </w:r>
          </w:p>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严重</w:t>
            </w:r>
          </w:p>
        </w:tc>
        <w:tc>
          <w:tcPr>
            <w:tcW w:w="114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1.民航生产经营单位未对8处以上一般安全隐患或者2处以上重大安全隐患采取措施消除的。</w:t>
            </w:r>
          </w:p>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theme="minorEastAsia"/>
                <w:sz w:val="28"/>
                <w:szCs w:val="28"/>
                <w14:ligatures w14:val="none"/>
              </w:rPr>
              <w:t>2.非法设立的民航生产经营单位和</w:t>
            </w:r>
            <w:r>
              <w:rPr>
                <w:rFonts w:ascii="Nimbus Roman" w:hAnsi="Nimbus Roman" w:eastAsia="仿宋_GB2312" w:cstheme="minorEastAsia"/>
                <w:sz w:val="28"/>
                <w:szCs w:val="28"/>
                <w14:ligatures w14:val="none"/>
              </w:rPr>
              <w:t>未取得安全生产相关证照或者超许可范围开展民航生产经营活动的民航生产经营单位，</w:t>
            </w:r>
            <w:r>
              <w:rPr>
                <w:rFonts w:hint="eastAsia" w:ascii="Nimbus Roman" w:hAnsi="Nimbus Roman" w:eastAsia="仿宋_GB2312" w:cstheme="minorEastAsia"/>
                <w:sz w:val="28"/>
                <w:szCs w:val="28"/>
                <w14:ligatures w14:val="none"/>
              </w:rPr>
              <w:t>未对</w:t>
            </w:r>
            <w:r>
              <w:rPr>
                <w:rFonts w:hint="eastAsia" w:ascii="Nimbus Roman" w:hAnsi="Nimbus Roman" w:eastAsia="仿宋_GB2312" w:cs="仿宋_GB2312"/>
                <w:sz w:val="28"/>
                <w:szCs w:val="28"/>
              </w:rPr>
              <w:t>1处以上安全隐患（包括一般安全隐患和重大安全隐患）采取措施消除的。</w:t>
            </w:r>
          </w:p>
        </w:tc>
        <w:tc>
          <w:tcPr>
            <w:tcW w:w="102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责令立即消除或者限期消除，处4万元以上5万元以下的罚款；生产经营单位拒不执行的，责令停产停业整顿，对其直接负责的主管人员和其他直接责任人员处9万元以上10万元以下的罚款。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4" w:hRule="atLeast"/>
        </w:trPr>
        <w:tc>
          <w:tcPr>
            <w:tcW w:w="262" w:type="pct"/>
            <w:vMerge w:val="continue"/>
            <w:vAlign w:val="center"/>
          </w:tcPr>
          <w:p>
            <w:pPr>
              <w:snapToGrid w:val="0"/>
              <w:spacing w:after="0" w:line="240" w:lineRule="auto"/>
              <w:jc w:val="center"/>
              <w:rPr>
                <w:rFonts w:hint="eastAsia" w:ascii="Nimbus Roman" w:hAnsi="Nimbus Roman" w:eastAsia="仿宋_GB2312" w:cs="仿宋_GB2312"/>
                <w:sz w:val="28"/>
                <w:szCs w:val="28"/>
              </w:rPr>
            </w:pPr>
          </w:p>
        </w:tc>
        <w:tc>
          <w:tcPr>
            <w:tcW w:w="603" w:type="pct"/>
            <w:vMerge w:val="restart"/>
            <w:vAlign w:val="center"/>
          </w:tcPr>
          <w:p>
            <w:pPr>
              <w:snapToGrid w:val="0"/>
              <w:spacing w:after="0" w:line="240" w:lineRule="auto"/>
              <w:jc w:val="both"/>
              <w:rPr>
                <w:rFonts w:hint="eastAsia" w:ascii="Nimbus Roman" w:hAnsi="Nimbus Roman" w:eastAsia="仿宋_GB2312" w:cs="仿宋_GB2312"/>
                <w:sz w:val="28"/>
                <w:szCs w:val="28"/>
              </w:rPr>
            </w:pPr>
            <w:bookmarkStart w:id="24" w:name="_Toc1588578806"/>
            <w:bookmarkStart w:id="25" w:name="_Toc840630549"/>
            <w:bookmarkStart w:id="26" w:name="_Toc1317094856"/>
            <w:bookmarkStart w:id="27" w:name="_Toc815905888"/>
            <w:bookmarkStart w:id="28" w:name="_Toc799407306"/>
            <w:bookmarkStart w:id="29" w:name="_Toc1452229226"/>
            <w:bookmarkStart w:id="30" w:name="_Toc660979039"/>
            <w:bookmarkStart w:id="31" w:name="_Toc1442304439"/>
            <w:bookmarkStart w:id="32" w:name="_Toc1494525021"/>
            <w:bookmarkStart w:id="33" w:name="_Toc425389189"/>
            <w:bookmarkStart w:id="34" w:name="_Toc935593168"/>
            <w:bookmarkStart w:id="35" w:name="_Toc293646016"/>
            <w:r>
              <w:rPr>
                <w:rFonts w:hint="eastAsia" w:ascii="Nimbus Roman" w:hAnsi="Nimbus Roman" w:eastAsia="仿宋_GB2312" w:cs="仿宋_GB2312"/>
                <w:sz w:val="28"/>
                <w:szCs w:val="28"/>
              </w:rPr>
              <w:t>未按规定保证安全生产所必需的资金投入致使民航生产经营单位</w:t>
            </w:r>
            <w:bookmarkStart w:id="36" w:name="OLE_LINK38"/>
            <w:r>
              <w:rPr>
                <w:rFonts w:hint="eastAsia" w:ascii="Nimbus Roman" w:hAnsi="Nimbus Roman" w:eastAsia="仿宋_GB2312" w:cs="仿宋_GB2312"/>
                <w:sz w:val="28"/>
                <w:szCs w:val="28"/>
              </w:rPr>
              <w:t>不具备安全生产条件，</w:t>
            </w:r>
            <w:bookmarkEnd w:id="36"/>
            <w:r>
              <w:rPr>
                <w:rFonts w:hint="eastAsia" w:ascii="Nimbus Roman" w:hAnsi="Nimbus Roman" w:eastAsia="仿宋_GB2312" w:cs="仿宋_GB2312"/>
                <w:sz w:val="28"/>
                <w:szCs w:val="28"/>
              </w:rPr>
              <w:t>导致发生生产安全事故的</w:t>
            </w:r>
            <w:bookmarkEnd w:id="24"/>
            <w:bookmarkEnd w:id="25"/>
            <w:bookmarkEnd w:id="26"/>
            <w:bookmarkEnd w:id="27"/>
            <w:bookmarkEnd w:id="28"/>
            <w:bookmarkEnd w:id="29"/>
            <w:bookmarkEnd w:id="30"/>
            <w:bookmarkEnd w:id="31"/>
            <w:bookmarkEnd w:id="32"/>
            <w:bookmarkEnd w:id="33"/>
            <w:bookmarkEnd w:id="34"/>
            <w:bookmarkEnd w:id="35"/>
          </w:p>
        </w:tc>
        <w:tc>
          <w:tcPr>
            <w:tcW w:w="1297" w:type="pct"/>
            <w:vMerge w:val="restart"/>
            <w:vAlign w:val="center"/>
          </w:tcPr>
          <w:p>
            <w:pPr>
              <w:widowControl/>
              <w:snapToGrid w:val="0"/>
              <w:spacing w:after="0" w:line="240" w:lineRule="auto"/>
              <w:jc w:val="both"/>
              <w:outlineLvl w:val="1"/>
              <w:rPr>
                <w:rFonts w:hint="eastAsia" w:ascii="Nimbus Roman" w:hAnsi="Nimbus Roman" w:eastAsia="仿宋_GB2312" w:cs="仿宋_GB2312"/>
                <w:sz w:val="28"/>
                <w:szCs w:val="28"/>
              </w:rPr>
            </w:pPr>
            <w:bookmarkStart w:id="37" w:name="OLE_LINK18"/>
            <w:r>
              <w:rPr>
                <w:rFonts w:hint="eastAsia" w:ascii="Nimbus Roman" w:hAnsi="Nimbus Roman" w:eastAsia="仿宋_GB2312" w:cs="仿宋_GB2312"/>
                <w:sz w:val="28"/>
                <w:szCs w:val="28"/>
              </w:rPr>
              <w:t>《民用航空安全管理规定》</w:t>
            </w:r>
            <w:bookmarkEnd w:id="37"/>
            <w:r>
              <w:rPr>
                <w:rFonts w:hint="eastAsia" w:ascii="Nimbus Roman" w:hAnsi="Nimbus Roman" w:eastAsia="仿宋_GB2312" w:cs="仿宋_GB2312"/>
                <w:sz w:val="28"/>
                <w:szCs w:val="28"/>
              </w:rPr>
              <w:t xml:space="preserve">第九条 </w:t>
            </w:r>
            <w:bookmarkStart w:id="38" w:name="OLE_LINK165"/>
            <w:r>
              <w:rPr>
                <w:rFonts w:hint="eastAsia" w:ascii="Nimbus Roman" w:hAnsi="Nimbus Roman" w:eastAsia="仿宋_GB2312" w:cs="仿宋_GB2312"/>
                <w:sz w:val="28"/>
                <w:szCs w:val="28"/>
              </w:rPr>
              <w:t>民航生产经营单位应当具备的安全生产条件所必需的资金投入，由</w:t>
            </w:r>
            <w:bookmarkStart w:id="39" w:name="OLE_LINK184"/>
            <w:r>
              <w:rPr>
                <w:rFonts w:hint="eastAsia" w:ascii="Nimbus Roman" w:hAnsi="Nimbus Roman" w:eastAsia="仿宋_GB2312" w:cs="仿宋_GB2312"/>
                <w:sz w:val="28"/>
                <w:szCs w:val="28"/>
              </w:rPr>
              <w:t>民航生产经营单位的决策机构、主要负责人或者个人经营的投资人</w:t>
            </w:r>
            <w:bookmarkEnd w:id="39"/>
            <w:r>
              <w:rPr>
                <w:rFonts w:hint="eastAsia" w:ascii="Nimbus Roman" w:hAnsi="Nimbus Roman" w:eastAsia="仿宋_GB2312" w:cs="仿宋_GB2312"/>
                <w:sz w:val="28"/>
                <w:szCs w:val="28"/>
              </w:rPr>
              <w:t>予以保证，并对由于安全生产所必需的资金投入不足导致的后果承担责任。本单位安全生产投入的有效实施由主要负责人予以保证。</w:t>
            </w:r>
            <w:bookmarkEnd w:id="38"/>
          </w:p>
          <w:p>
            <w:pPr>
              <w:widowControl/>
              <w:snapToGrid w:val="0"/>
              <w:spacing w:after="0" w:line="240" w:lineRule="auto"/>
              <w:jc w:val="both"/>
              <w:outlineLvl w:val="1"/>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《民用航空安全管理规定》第四十一条 民航生产经营单位的决策机构、主要负责人或者个人经营的投资人违反本规定第九条，致使</w:t>
            </w:r>
            <w:bookmarkStart w:id="40" w:name="OLE_LINK183"/>
            <w:r>
              <w:rPr>
                <w:rFonts w:hint="eastAsia" w:ascii="Nimbus Roman" w:hAnsi="Nimbus Roman" w:eastAsia="仿宋_GB2312" w:cs="仿宋_GB2312"/>
                <w:sz w:val="28"/>
                <w:szCs w:val="28"/>
              </w:rPr>
              <w:t>民航生产经营单位不具备安全生产条件的</w:t>
            </w:r>
            <w:bookmarkEnd w:id="40"/>
            <w:r>
              <w:rPr>
                <w:rFonts w:hint="eastAsia" w:ascii="Nimbus Roman" w:hAnsi="Nimbus Roman" w:eastAsia="仿宋_GB2312" w:cs="仿宋_GB2312"/>
                <w:sz w:val="28"/>
                <w:szCs w:val="28"/>
              </w:rPr>
              <w:t>，由民航地区管理局依照《中华人民共和国安全生产法》第九十三条规定处理。</w:t>
            </w:r>
          </w:p>
          <w:p>
            <w:pPr>
              <w:widowControl/>
              <w:snapToGrid w:val="0"/>
              <w:spacing w:after="0" w:line="240" w:lineRule="auto"/>
              <w:jc w:val="both"/>
              <w:outlineLvl w:val="1"/>
              <w:rPr>
                <w:rFonts w:hint="eastAsia" w:ascii="Nimbus Roman" w:hAnsi="Nimbus Roman" w:eastAsia="仿宋_GB2312" w:cs="仿宋_GB2312"/>
                <w:sz w:val="28"/>
                <w:szCs w:val="28"/>
              </w:rPr>
            </w:pPr>
            <w:r>
              <w:rPr>
                <w:rFonts w:hint="eastAsia" w:ascii="Nimbus Roman" w:hAnsi="Nimbus Roman" w:eastAsia="仿宋_GB2312" w:cs="仿宋_GB2312"/>
                <w:sz w:val="28"/>
                <w:szCs w:val="28"/>
              </w:rPr>
              <w:t>《中华人民共和国安全生产法》第九十三条 生产经营单位的决策机构、主要负责人或者个人经营的投资人不依照本法规定保证安全生产所必需的资金投入，致使生产经营单位不具备安全生产条件的，责令限期改正，提供必需的资金；逾期未改正的，责令生产经营单位停产停业整顿。有前款违法行为，导致发生</w:t>
            </w:r>
            <w:bookmarkStart w:id="41" w:name="OLE_LINK41"/>
            <w:r>
              <w:rPr>
                <w:rFonts w:hint="eastAsia" w:ascii="Nimbus Roman" w:hAnsi="Nimbus Roman" w:eastAsia="仿宋_GB2312" w:cs="仿宋_GB2312"/>
                <w:sz w:val="28"/>
                <w:szCs w:val="28"/>
              </w:rPr>
              <w:t>生产安全</w:t>
            </w:r>
            <w:bookmarkEnd w:id="41"/>
            <w:r>
              <w:rPr>
                <w:rFonts w:hint="eastAsia" w:ascii="Nimbus Roman" w:hAnsi="Nimbus Roman" w:eastAsia="仿宋_GB2312" w:cs="仿宋_GB2312"/>
                <w:sz w:val="28"/>
                <w:szCs w:val="28"/>
              </w:rPr>
              <w:t>事故的，对生产经营单位的主要负责人给予撤职处分，对个人经营的投资人处二万元以上二十万元以下的罚款；构成犯罪的，依照刑法有关规定追究刑事责任。</w:t>
            </w:r>
          </w:p>
        </w:tc>
        <w:tc>
          <w:tcPr>
            <w:tcW w:w="314" w:type="pct"/>
            <w:vAlign w:val="center"/>
          </w:tcPr>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一般</w:t>
            </w:r>
          </w:p>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处罚</w:t>
            </w:r>
          </w:p>
        </w:tc>
        <w:tc>
          <w:tcPr>
            <w:tcW w:w="353"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情节</w:t>
            </w:r>
          </w:p>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一般</w:t>
            </w:r>
          </w:p>
        </w:tc>
        <w:tc>
          <w:tcPr>
            <w:tcW w:w="1144" w:type="pct"/>
            <w:vAlign w:val="center"/>
          </w:tcPr>
          <w:p>
            <w:pPr>
              <w:snapToGrid w:val="0"/>
              <w:spacing w:after="0" w:line="240" w:lineRule="auto"/>
              <w:jc w:val="both"/>
              <w:rPr>
                <w:rFonts w:hint="eastAsia" w:ascii="Nimbus Roman" w:hAnsi="Nimbus Roman" w:eastAsia="仿宋_GB2312" w:cs="仿宋_GB2312"/>
                <w:sz w:val="28"/>
                <w:szCs w:val="28"/>
              </w:rPr>
            </w:pPr>
            <w:bookmarkStart w:id="42" w:name="OLE_LINK39"/>
            <w:r>
              <w:rPr>
                <w:rFonts w:hint="eastAsia" w:ascii="Nimbus Roman" w:hAnsi="Nimbus Roman" w:eastAsia="仿宋_GB2312" w:cs="仿宋_GB2312"/>
                <w:sz w:val="28"/>
                <w:szCs w:val="28"/>
              </w:rPr>
              <w:t>未按规定保证安全生产所必需的资金投入致使民航生产经营单位不具备安全生产条件，</w:t>
            </w:r>
            <w:bookmarkEnd w:id="42"/>
            <w:r>
              <w:rPr>
                <w:rFonts w:hint="eastAsia" w:ascii="Nimbus Roman" w:hAnsi="Nimbus Roman" w:eastAsia="仿宋_GB2312" w:cs="仿宋_GB2312"/>
                <w:sz w:val="28"/>
                <w:szCs w:val="28"/>
              </w:rPr>
              <w:t>导致发生一般生产安全事故的。</w:t>
            </w:r>
          </w:p>
        </w:tc>
        <w:tc>
          <w:tcPr>
            <w:tcW w:w="102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对个人经营的投资人处2万元以上10万元以下的罚款。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262" w:type="pct"/>
            <w:vMerge w:val="continue"/>
            <w:vAlign w:val="center"/>
          </w:tcPr>
          <w:p>
            <w:pPr>
              <w:snapToGrid w:val="0"/>
              <w:spacing w:after="0" w:line="240" w:lineRule="auto"/>
              <w:jc w:val="center"/>
              <w:rPr>
                <w:rFonts w:hint="eastAsia" w:ascii="Nimbus Roman" w:hAnsi="Nimbus Roman" w:eastAsia="仿宋_GB2312" w:cs="仿宋_GB2312"/>
                <w:sz w:val="28"/>
                <w:szCs w:val="28"/>
              </w:rPr>
            </w:pPr>
          </w:p>
        </w:tc>
        <w:tc>
          <w:tcPr>
            <w:tcW w:w="603" w:type="pct"/>
            <w:vMerge w:val="continue"/>
            <w:vAlign w:val="center"/>
          </w:tcPr>
          <w:p>
            <w:pPr>
              <w:snapToGrid w:val="0"/>
              <w:spacing w:after="0" w:line="240" w:lineRule="auto"/>
              <w:jc w:val="both"/>
              <w:rPr>
                <w:rFonts w:hint="eastAsia" w:ascii="Nimbus Roman" w:hAnsi="Nimbus Roman" w:eastAsia="仿宋_GB2312" w:cs="仿宋_GB2312"/>
                <w:sz w:val="28"/>
                <w:szCs w:val="28"/>
              </w:rPr>
            </w:pPr>
          </w:p>
        </w:tc>
        <w:tc>
          <w:tcPr>
            <w:tcW w:w="1297" w:type="pct"/>
            <w:vMerge w:val="continue"/>
            <w:vAlign w:val="center"/>
          </w:tcPr>
          <w:p>
            <w:pPr>
              <w:widowControl/>
              <w:snapToGrid w:val="0"/>
              <w:spacing w:after="0" w:line="240" w:lineRule="auto"/>
              <w:jc w:val="both"/>
              <w:outlineLvl w:val="1"/>
              <w:rPr>
                <w:rFonts w:hint="eastAsia" w:ascii="Nimbus Roman" w:hAnsi="Nimbus Roman" w:eastAsia="仿宋_GB2312" w:cs="仿宋_GB2312"/>
                <w:sz w:val="28"/>
                <w:szCs w:val="28"/>
              </w:rPr>
            </w:pPr>
          </w:p>
        </w:tc>
        <w:tc>
          <w:tcPr>
            <w:tcW w:w="314" w:type="pct"/>
            <w:vAlign w:val="center"/>
          </w:tcPr>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从重</w:t>
            </w:r>
          </w:p>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处罚</w:t>
            </w:r>
          </w:p>
        </w:tc>
        <w:tc>
          <w:tcPr>
            <w:tcW w:w="353"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情节</w:t>
            </w:r>
          </w:p>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严重</w:t>
            </w:r>
          </w:p>
        </w:tc>
        <w:tc>
          <w:tcPr>
            <w:tcW w:w="114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1.</w:t>
            </w:r>
            <w:r>
              <w:rPr>
                <w:rFonts w:ascii="Nimbus Roman" w:hAnsi="Nimbus Roman" w:eastAsia="仿宋_GB2312" w:cs="仿宋_GB2312"/>
                <w:sz w:val="28"/>
                <w:szCs w:val="28"/>
              </w:rPr>
              <w:t>未按规定保证安全生产所必需的资金投入致使民航生产经营单位不具备安全生产条件，</w:t>
            </w:r>
            <w:r>
              <w:rPr>
                <w:rFonts w:hint="eastAsia" w:ascii="Nimbus Roman" w:hAnsi="Nimbus Roman" w:eastAsia="仿宋_GB2312" w:cs="仿宋_GB2312"/>
                <w:sz w:val="28"/>
                <w:szCs w:val="28"/>
              </w:rPr>
              <w:t>导致发生较大以上生产安全事故的。</w:t>
            </w:r>
          </w:p>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theme="minorEastAsia"/>
                <w:sz w:val="28"/>
                <w:szCs w:val="28"/>
                <w14:ligatures w14:val="none"/>
              </w:rPr>
              <w:t>2.</w:t>
            </w:r>
            <w:r>
              <w:rPr>
                <w:rFonts w:ascii="Nimbus Roman" w:hAnsi="Nimbus Roman" w:eastAsia="仿宋_GB2312" w:cstheme="minorEastAsia"/>
                <w:sz w:val="28"/>
                <w:szCs w:val="28"/>
                <w14:ligatures w14:val="none"/>
              </w:rPr>
              <w:t>非法设立的民航生产经营单位和未取得安全生产相关证照或者超许可范围开展民航生产经营活动的民航生产经营单位，未</w:t>
            </w:r>
            <w:r>
              <w:rPr>
                <w:rFonts w:hint="eastAsia" w:ascii="Nimbus Roman" w:hAnsi="Nimbus Roman" w:eastAsia="仿宋_GB2312" w:cs="仿宋_GB2312"/>
                <w:sz w:val="28"/>
                <w:szCs w:val="28"/>
              </w:rPr>
              <w:t>按规定保证安全生产所必需的资金投入致使不具备安全生产条件，导致发生一般以上生产安全事故的。</w:t>
            </w:r>
          </w:p>
        </w:tc>
        <w:tc>
          <w:tcPr>
            <w:tcW w:w="102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对个人经营的投资人处10万元以上20万元以下的罚款。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 w:type="pct"/>
            <w:vMerge w:val="continue"/>
            <w:vAlign w:val="center"/>
          </w:tcPr>
          <w:p>
            <w:pPr>
              <w:snapToGrid w:val="0"/>
              <w:spacing w:after="0" w:line="240" w:lineRule="auto"/>
              <w:jc w:val="center"/>
              <w:rPr>
                <w:rFonts w:hint="eastAsia" w:ascii="Nimbus Roman" w:hAnsi="Nimbus Roman" w:eastAsia="仿宋_GB2312" w:cs="仿宋_GB2312"/>
                <w:sz w:val="28"/>
                <w:szCs w:val="28"/>
              </w:rPr>
            </w:pPr>
          </w:p>
        </w:tc>
        <w:tc>
          <w:tcPr>
            <w:tcW w:w="603" w:type="pct"/>
            <w:vMerge w:val="restar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未按照规定建立安全管理体系的</w:t>
            </w:r>
          </w:p>
        </w:tc>
        <w:tc>
          <w:tcPr>
            <w:tcW w:w="1297" w:type="pct"/>
            <w:vMerge w:val="restart"/>
            <w:vAlign w:val="center"/>
          </w:tcPr>
          <w:p>
            <w:pPr>
              <w:widowControl/>
              <w:snapToGrid w:val="0"/>
              <w:spacing w:after="0" w:line="240" w:lineRule="auto"/>
              <w:jc w:val="both"/>
              <w:outlineLvl w:val="1"/>
              <w:rPr>
                <w:rFonts w:hint="eastAsia" w:ascii="Nimbus Roman" w:hAnsi="Nimbus Roman" w:eastAsia="仿宋_GB2312" w:cs="仿宋_GB2312"/>
                <w:sz w:val="28"/>
                <w:szCs w:val="28"/>
              </w:rPr>
            </w:pPr>
            <w:bookmarkStart w:id="43" w:name="OLE_LINK187"/>
            <w:r>
              <w:rPr>
                <w:rFonts w:hint="eastAsia" w:ascii="Nimbus Roman" w:hAnsi="Nimbus Roman" w:eastAsia="仿宋_GB2312" w:cs="仿宋_GB2312"/>
                <w:sz w:val="28"/>
                <w:szCs w:val="28"/>
              </w:rPr>
              <w:t>《民用航空安全管理规定》第十条 特定民航生产经营单位应当按照第三章的要求建立安全管理体系。</w:t>
            </w:r>
          </w:p>
          <w:p>
            <w:pPr>
              <w:widowControl/>
              <w:snapToGrid w:val="0"/>
              <w:spacing w:after="0" w:line="240" w:lineRule="auto"/>
              <w:jc w:val="both"/>
              <w:outlineLvl w:val="1"/>
              <w:rPr>
                <w:rFonts w:hint="eastAsia" w:ascii="Nimbus Roman" w:hAnsi="Nimbus Roman" w:eastAsia="仿宋_GB2312" w:cs="仿宋_GB2312"/>
                <w:sz w:val="28"/>
                <w:szCs w:val="28"/>
              </w:rPr>
            </w:pPr>
            <w:r>
              <w:rPr>
                <w:rFonts w:ascii="Nimbus Roman" w:hAnsi="Nimbus Roman" w:eastAsia="仿宋_GB2312" w:cs="仿宋_GB2312"/>
                <w:sz w:val="28"/>
                <w:szCs w:val="28"/>
              </w:rPr>
              <w:t>《民用航空安全管理规定》</w:t>
            </w:r>
            <w:r>
              <w:rPr>
                <w:rFonts w:hint="eastAsia" w:ascii="Nimbus Roman" w:hAnsi="Nimbus Roman" w:eastAsia="仿宋_GB2312" w:cs="仿宋_GB2312"/>
                <w:sz w:val="28"/>
                <w:szCs w:val="28"/>
              </w:rPr>
              <w:t>第四十二条 特定民航生产经营单位违反本规定第十条，</w:t>
            </w:r>
            <w:bookmarkStart w:id="44" w:name="OLE_LINK185"/>
            <w:r>
              <w:rPr>
                <w:rFonts w:hint="eastAsia" w:ascii="Nimbus Roman" w:hAnsi="Nimbus Roman" w:eastAsia="仿宋_GB2312" w:cs="仿宋_GB2312"/>
                <w:sz w:val="28"/>
                <w:szCs w:val="28"/>
              </w:rPr>
              <w:t>未按照规定建立安全管理体系的</w:t>
            </w:r>
            <w:bookmarkEnd w:id="44"/>
            <w:r>
              <w:rPr>
                <w:rFonts w:hint="eastAsia" w:ascii="Nimbus Roman" w:hAnsi="Nimbus Roman" w:eastAsia="仿宋_GB2312" w:cs="仿宋_GB2312"/>
                <w:sz w:val="28"/>
                <w:szCs w:val="28"/>
              </w:rPr>
              <w:t>，由民航地区管理局责令限期改正，予以警告或者通报批评；逾期未改正的，处1万元以上5万元以下的罚款；情节严重的，处5万元以上10万元以下的罚款。</w:t>
            </w:r>
            <w:bookmarkEnd w:id="43"/>
          </w:p>
        </w:tc>
        <w:tc>
          <w:tcPr>
            <w:tcW w:w="314" w:type="pct"/>
            <w:vAlign w:val="center"/>
          </w:tcPr>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从轻</w:t>
            </w:r>
          </w:p>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处罚</w:t>
            </w:r>
          </w:p>
        </w:tc>
        <w:tc>
          <w:tcPr>
            <w:tcW w:w="353"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情节</w:t>
            </w:r>
          </w:p>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较轻</w:t>
            </w:r>
          </w:p>
        </w:tc>
        <w:tc>
          <w:tcPr>
            <w:tcW w:w="114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特定民航生产经营单位</w:t>
            </w:r>
            <w:bookmarkStart w:id="45" w:name="OLE_LINK6"/>
            <w:r>
              <w:rPr>
                <w:rFonts w:hint="eastAsia" w:ascii="Nimbus Roman" w:hAnsi="Nimbus Roman" w:eastAsia="仿宋_GB2312" w:cs="仿宋_GB2312"/>
                <w:sz w:val="28"/>
                <w:szCs w:val="28"/>
              </w:rPr>
              <w:t>未按照规定建立安全管理体系，涉及第三章规定的1个条</w:t>
            </w:r>
            <w:bookmarkEnd w:id="45"/>
            <w:r>
              <w:rPr>
                <w:rFonts w:hint="eastAsia" w:ascii="Nimbus Roman" w:hAnsi="Nimbus Roman" w:eastAsia="仿宋_GB2312" w:cs="仿宋_GB2312"/>
                <w:sz w:val="28"/>
                <w:szCs w:val="28"/>
              </w:rPr>
              <w:t>款的。</w:t>
            </w:r>
          </w:p>
        </w:tc>
        <w:tc>
          <w:tcPr>
            <w:tcW w:w="102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责令限期改正，予以警告；逾期未改正的，处1万元以上2万元以下的罚款。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 w:type="pct"/>
            <w:vMerge w:val="continue"/>
            <w:vAlign w:val="center"/>
          </w:tcPr>
          <w:p>
            <w:pPr>
              <w:snapToGrid w:val="0"/>
              <w:spacing w:after="0" w:line="240" w:lineRule="auto"/>
              <w:jc w:val="center"/>
              <w:rPr>
                <w:rFonts w:hint="eastAsia" w:ascii="Nimbus Roman" w:hAnsi="Nimbus Roman" w:eastAsia="仿宋_GB2312" w:cs="仿宋_GB2312"/>
                <w:sz w:val="28"/>
                <w:szCs w:val="28"/>
              </w:rPr>
            </w:pPr>
          </w:p>
        </w:tc>
        <w:tc>
          <w:tcPr>
            <w:tcW w:w="603" w:type="pct"/>
            <w:vMerge w:val="continue"/>
            <w:vAlign w:val="center"/>
          </w:tcPr>
          <w:p>
            <w:pPr>
              <w:snapToGrid w:val="0"/>
              <w:spacing w:after="0" w:line="240" w:lineRule="auto"/>
              <w:jc w:val="both"/>
              <w:rPr>
                <w:rFonts w:hint="eastAsia" w:ascii="Nimbus Roman" w:hAnsi="Nimbus Roman" w:eastAsia="仿宋_GB2312" w:cs="仿宋_GB2312"/>
                <w:sz w:val="28"/>
                <w:szCs w:val="28"/>
              </w:rPr>
            </w:pPr>
          </w:p>
        </w:tc>
        <w:tc>
          <w:tcPr>
            <w:tcW w:w="1297" w:type="pct"/>
            <w:vMerge w:val="continue"/>
            <w:vAlign w:val="center"/>
          </w:tcPr>
          <w:p>
            <w:pPr>
              <w:widowControl/>
              <w:snapToGrid w:val="0"/>
              <w:spacing w:after="0" w:line="240" w:lineRule="auto"/>
              <w:jc w:val="both"/>
              <w:outlineLvl w:val="1"/>
              <w:rPr>
                <w:rFonts w:hint="eastAsia" w:ascii="Nimbus Roman" w:hAnsi="Nimbus Roman" w:eastAsia="仿宋_GB2312" w:cs="仿宋_GB2312"/>
                <w:sz w:val="28"/>
                <w:szCs w:val="28"/>
              </w:rPr>
            </w:pPr>
          </w:p>
        </w:tc>
        <w:tc>
          <w:tcPr>
            <w:tcW w:w="314" w:type="pct"/>
            <w:vAlign w:val="center"/>
          </w:tcPr>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一般</w:t>
            </w:r>
          </w:p>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处罚</w:t>
            </w:r>
          </w:p>
        </w:tc>
        <w:tc>
          <w:tcPr>
            <w:tcW w:w="353"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情节</w:t>
            </w:r>
          </w:p>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一般</w:t>
            </w:r>
          </w:p>
        </w:tc>
        <w:tc>
          <w:tcPr>
            <w:tcW w:w="114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特定民航生产经营单位未按照规定建立安全管理体系，涉及第三章规定的2个条款的。</w:t>
            </w:r>
          </w:p>
        </w:tc>
        <w:tc>
          <w:tcPr>
            <w:tcW w:w="102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责令限期改正，予以通报批评；逾期未改正的，处2万元以上5万元以下的罚款。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 w:type="pct"/>
            <w:vMerge w:val="continue"/>
            <w:vAlign w:val="center"/>
          </w:tcPr>
          <w:p>
            <w:pPr>
              <w:snapToGrid w:val="0"/>
              <w:spacing w:after="0" w:line="240" w:lineRule="auto"/>
              <w:jc w:val="center"/>
              <w:rPr>
                <w:rFonts w:hint="eastAsia" w:ascii="Nimbus Roman" w:hAnsi="Nimbus Roman" w:eastAsia="仿宋_GB2312" w:cs="仿宋_GB2312"/>
                <w:sz w:val="28"/>
                <w:szCs w:val="28"/>
              </w:rPr>
            </w:pPr>
          </w:p>
        </w:tc>
        <w:tc>
          <w:tcPr>
            <w:tcW w:w="603" w:type="pct"/>
            <w:vMerge w:val="continue"/>
            <w:vAlign w:val="center"/>
          </w:tcPr>
          <w:p>
            <w:pPr>
              <w:snapToGrid w:val="0"/>
              <w:spacing w:after="0" w:line="240" w:lineRule="auto"/>
              <w:jc w:val="both"/>
              <w:rPr>
                <w:rFonts w:hint="eastAsia" w:ascii="Nimbus Roman" w:hAnsi="Nimbus Roman" w:eastAsia="仿宋_GB2312" w:cs="仿宋_GB2312"/>
                <w:sz w:val="28"/>
                <w:szCs w:val="28"/>
              </w:rPr>
            </w:pPr>
          </w:p>
        </w:tc>
        <w:tc>
          <w:tcPr>
            <w:tcW w:w="1297" w:type="pct"/>
            <w:vMerge w:val="continue"/>
            <w:vAlign w:val="center"/>
          </w:tcPr>
          <w:p>
            <w:pPr>
              <w:widowControl/>
              <w:snapToGrid w:val="0"/>
              <w:spacing w:after="0" w:line="240" w:lineRule="auto"/>
              <w:jc w:val="both"/>
              <w:outlineLvl w:val="1"/>
              <w:rPr>
                <w:rFonts w:hint="eastAsia" w:ascii="Nimbus Roman" w:hAnsi="Nimbus Roman" w:eastAsia="仿宋_GB2312" w:cs="仿宋_GB2312"/>
                <w:sz w:val="28"/>
                <w:szCs w:val="28"/>
              </w:rPr>
            </w:pPr>
          </w:p>
        </w:tc>
        <w:tc>
          <w:tcPr>
            <w:tcW w:w="314" w:type="pct"/>
            <w:vAlign w:val="center"/>
          </w:tcPr>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从重</w:t>
            </w:r>
          </w:p>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处罚</w:t>
            </w:r>
          </w:p>
        </w:tc>
        <w:tc>
          <w:tcPr>
            <w:tcW w:w="353"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情节</w:t>
            </w:r>
          </w:p>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严重</w:t>
            </w:r>
          </w:p>
        </w:tc>
        <w:tc>
          <w:tcPr>
            <w:tcW w:w="114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1.特定民航生产经营单位未按照规定建立安全管理体系，涉及第三章规定的3个条款以上的。</w:t>
            </w:r>
          </w:p>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2</w:t>
            </w:r>
            <w:bookmarkStart w:id="46" w:name="OLE_LINK7"/>
            <w:r>
              <w:rPr>
                <w:rFonts w:hint="eastAsia" w:ascii="Nimbus Roman" w:hAnsi="Nimbus Roman" w:eastAsia="仿宋_GB2312" w:cs="仿宋_GB2312"/>
                <w:sz w:val="28"/>
                <w:szCs w:val="28"/>
              </w:rPr>
              <w:t>.</w:t>
            </w:r>
            <w:r>
              <w:rPr>
                <w:rFonts w:ascii="Nimbus Roman" w:hAnsi="Nimbus Roman" w:eastAsia="仿宋_GB2312" w:cs="仿宋_GB2312"/>
                <w:sz w:val="28"/>
                <w:szCs w:val="28"/>
              </w:rPr>
              <w:t>非法设立的特定民航生产经营单位和未取得安全生产相关证照或者超许可范围开展民航生产经营活动的特定民航生产经营单位</w:t>
            </w:r>
            <w:bookmarkEnd w:id="46"/>
            <w:r>
              <w:rPr>
                <w:rFonts w:hint="eastAsia" w:ascii="Nimbus Roman" w:hAnsi="Nimbus Roman" w:eastAsia="仿宋_GB2312" w:cs="仿宋_GB2312"/>
                <w:sz w:val="28"/>
                <w:szCs w:val="28"/>
              </w:rPr>
              <w:t>未按照规定建立安全管理体系</w:t>
            </w:r>
            <w:r>
              <w:rPr>
                <w:rFonts w:ascii="Nimbus Roman" w:hAnsi="Nimbus Roman" w:eastAsia="仿宋_GB2312" w:cs="仿宋_GB2312"/>
                <w:sz w:val="28"/>
                <w:szCs w:val="28"/>
              </w:rPr>
              <w:t>，</w:t>
            </w:r>
            <w:r>
              <w:rPr>
                <w:rFonts w:hint="eastAsia" w:ascii="Nimbus Roman" w:hAnsi="Nimbus Roman" w:eastAsia="仿宋_GB2312" w:cs="仿宋_GB2312"/>
                <w:sz w:val="28"/>
                <w:szCs w:val="28"/>
              </w:rPr>
              <w:t>涉及第三章规定的1个条款以上的。</w:t>
            </w:r>
          </w:p>
        </w:tc>
        <w:tc>
          <w:tcPr>
            <w:tcW w:w="102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责令限期改正，予以通报批评；逾期未改正的，处5万元以上10万元以下的罚款。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 w:type="pct"/>
            <w:vMerge w:val="continue"/>
            <w:vAlign w:val="center"/>
          </w:tcPr>
          <w:p>
            <w:pPr>
              <w:snapToGrid w:val="0"/>
              <w:spacing w:after="0" w:line="240" w:lineRule="auto"/>
              <w:jc w:val="center"/>
              <w:rPr>
                <w:rFonts w:hint="eastAsia" w:ascii="Nimbus Roman" w:hAnsi="Nimbus Roman" w:eastAsia="仿宋_GB2312" w:cs="仿宋_GB2312"/>
                <w:sz w:val="28"/>
                <w:szCs w:val="28"/>
              </w:rPr>
            </w:pPr>
          </w:p>
        </w:tc>
        <w:tc>
          <w:tcPr>
            <w:tcW w:w="603" w:type="pct"/>
            <w:vMerge w:val="restart"/>
            <w:vAlign w:val="center"/>
          </w:tcPr>
          <w:p>
            <w:pPr>
              <w:snapToGrid w:val="0"/>
              <w:spacing w:after="0" w:line="240" w:lineRule="auto"/>
              <w:jc w:val="both"/>
              <w:rPr>
                <w:rFonts w:hint="eastAsia" w:ascii="Nimbus Roman" w:hAnsi="Nimbus Roman" w:eastAsia="仿宋_GB2312" w:cs="仿宋_GB2312"/>
                <w:sz w:val="28"/>
                <w:szCs w:val="28"/>
              </w:rPr>
            </w:pPr>
            <w:bookmarkStart w:id="47" w:name="OLE_LINK8"/>
            <w:r>
              <w:rPr>
                <w:rFonts w:hint="eastAsia" w:ascii="Nimbus Roman" w:hAnsi="Nimbus Roman" w:eastAsia="仿宋_GB2312" w:cs="仿宋_GB2312"/>
                <w:sz w:val="28"/>
                <w:szCs w:val="28"/>
              </w:rPr>
              <w:t>未开展安全表现监测工作的</w:t>
            </w:r>
            <w:bookmarkEnd w:id="47"/>
          </w:p>
        </w:tc>
        <w:tc>
          <w:tcPr>
            <w:tcW w:w="1297" w:type="pct"/>
            <w:vMerge w:val="restart"/>
            <w:vAlign w:val="center"/>
          </w:tcPr>
          <w:p>
            <w:pPr>
              <w:widowControl/>
              <w:snapToGrid w:val="0"/>
              <w:spacing w:after="0" w:line="240" w:lineRule="auto"/>
              <w:jc w:val="both"/>
              <w:outlineLvl w:val="1"/>
              <w:rPr>
                <w:rFonts w:hint="eastAsia" w:ascii="Nimbus Roman" w:hAnsi="Nimbus Roman" w:eastAsia="仿宋_GB2312" w:cs="仿宋_GB2312"/>
                <w:sz w:val="28"/>
                <w:szCs w:val="28"/>
              </w:rPr>
            </w:pPr>
            <w:bookmarkStart w:id="48" w:name="OLE_LINK19"/>
            <w:r>
              <w:rPr>
                <w:rFonts w:hint="eastAsia" w:ascii="Nimbus Roman" w:hAnsi="Nimbus Roman" w:eastAsia="仿宋_GB2312" w:cs="仿宋_GB2312"/>
                <w:sz w:val="28"/>
                <w:szCs w:val="28"/>
              </w:rPr>
              <w:t>《民用航空安全管理规定》</w:t>
            </w:r>
            <w:bookmarkEnd w:id="48"/>
            <w:r>
              <w:rPr>
                <w:rFonts w:hint="eastAsia" w:ascii="Nimbus Roman" w:hAnsi="Nimbus Roman" w:eastAsia="仿宋_GB2312" w:cs="仿宋_GB2312"/>
                <w:sz w:val="28"/>
                <w:szCs w:val="28"/>
              </w:rPr>
              <w:t>第二十一条 特定民航生产经营单位应当开展安全表现管理，通过安全检查、事件调查、安全报告、安全管理体系审核、安全信息综合分析等安全隐患排查的方式收集安全数据并进行安全表现监测，监测本单位安全表现和达成安全目标的进展，验证安全风险控制的有效性。</w:t>
            </w:r>
          </w:p>
          <w:p>
            <w:pPr>
              <w:snapToGrid w:val="0"/>
              <w:spacing w:after="0" w:line="240" w:lineRule="auto"/>
              <w:jc w:val="both"/>
              <w:outlineLvl w:val="1"/>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《民用航空安全管理规定》第四十三条 特定民航生产经营单位有下列行为之一的，由民航地区管理局责令限期改正，予以警告或者通报批评；逾期未改正的，处1万元以上3万元以下的罚款：（一）违反本规定第二十一条，未开展安全表现监测工作的。</w:t>
            </w:r>
          </w:p>
        </w:tc>
        <w:tc>
          <w:tcPr>
            <w:tcW w:w="314" w:type="pct"/>
            <w:vAlign w:val="center"/>
          </w:tcPr>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从轻</w:t>
            </w:r>
          </w:p>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处罚</w:t>
            </w:r>
          </w:p>
        </w:tc>
        <w:tc>
          <w:tcPr>
            <w:tcW w:w="353"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情节</w:t>
            </w:r>
          </w:p>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较轻</w:t>
            </w:r>
          </w:p>
        </w:tc>
        <w:tc>
          <w:tcPr>
            <w:tcW w:w="114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特定民航生产经营单位未开展安全表现监测工作的。</w:t>
            </w:r>
          </w:p>
        </w:tc>
        <w:tc>
          <w:tcPr>
            <w:tcW w:w="102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责令限期改正，予以警告或者通报批评。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 w:type="pct"/>
            <w:vMerge w:val="continue"/>
            <w:vAlign w:val="center"/>
          </w:tcPr>
          <w:p>
            <w:pPr>
              <w:snapToGrid w:val="0"/>
              <w:spacing w:after="0" w:line="240" w:lineRule="auto"/>
              <w:jc w:val="center"/>
              <w:rPr>
                <w:rFonts w:hint="eastAsia" w:ascii="Nimbus Roman" w:hAnsi="Nimbus Roman" w:eastAsia="仿宋_GB2312" w:cs="仿宋_GB2312"/>
                <w:sz w:val="28"/>
                <w:szCs w:val="28"/>
              </w:rPr>
            </w:pPr>
          </w:p>
        </w:tc>
        <w:tc>
          <w:tcPr>
            <w:tcW w:w="603" w:type="pct"/>
            <w:vMerge w:val="continue"/>
            <w:vAlign w:val="center"/>
          </w:tcPr>
          <w:p>
            <w:pPr>
              <w:snapToGrid w:val="0"/>
              <w:spacing w:after="0" w:line="240" w:lineRule="auto"/>
              <w:jc w:val="both"/>
              <w:rPr>
                <w:rFonts w:hint="eastAsia" w:ascii="Nimbus Roman" w:hAnsi="Nimbus Roman" w:eastAsia="仿宋_GB2312" w:cs="仿宋_GB2312"/>
                <w:sz w:val="28"/>
                <w:szCs w:val="28"/>
              </w:rPr>
            </w:pPr>
          </w:p>
        </w:tc>
        <w:tc>
          <w:tcPr>
            <w:tcW w:w="1297" w:type="pct"/>
            <w:vMerge w:val="continue"/>
            <w:vAlign w:val="center"/>
          </w:tcPr>
          <w:p>
            <w:pPr>
              <w:widowControl/>
              <w:snapToGrid w:val="0"/>
              <w:spacing w:after="0" w:line="240" w:lineRule="auto"/>
              <w:jc w:val="both"/>
              <w:outlineLvl w:val="1"/>
              <w:rPr>
                <w:rFonts w:hint="eastAsia" w:ascii="Nimbus Roman" w:hAnsi="Nimbus Roman" w:eastAsia="仿宋_GB2312" w:cs="仿宋_GB2312"/>
                <w:sz w:val="28"/>
                <w:szCs w:val="28"/>
              </w:rPr>
            </w:pPr>
          </w:p>
        </w:tc>
        <w:tc>
          <w:tcPr>
            <w:tcW w:w="314" w:type="pct"/>
            <w:vAlign w:val="center"/>
          </w:tcPr>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一般</w:t>
            </w:r>
          </w:p>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处罚</w:t>
            </w:r>
          </w:p>
        </w:tc>
        <w:tc>
          <w:tcPr>
            <w:tcW w:w="353"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情节</w:t>
            </w:r>
          </w:p>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一般</w:t>
            </w:r>
          </w:p>
        </w:tc>
        <w:tc>
          <w:tcPr>
            <w:tcW w:w="114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特定民航生产经营单位改正了未开展安全表现监测违法行为但超过了规定期限的。</w:t>
            </w:r>
          </w:p>
        </w:tc>
        <w:tc>
          <w:tcPr>
            <w:tcW w:w="102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逾期未改正的，处1万元以上2万元以下的罚款。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 w:type="pct"/>
            <w:vMerge w:val="continue"/>
            <w:vAlign w:val="center"/>
          </w:tcPr>
          <w:p>
            <w:pPr>
              <w:snapToGrid w:val="0"/>
              <w:spacing w:after="0" w:line="240" w:lineRule="auto"/>
              <w:jc w:val="center"/>
              <w:rPr>
                <w:rFonts w:hint="eastAsia" w:ascii="Nimbus Roman" w:hAnsi="Nimbus Roman" w:eastAsia="仿宋_GB2312" w:cs="仿宋_GB2312"/>
                <w:sz w:val="28"/>
                <w:szCs w:val="28"/>
              </w:rPr>
            </w:pPr>
          </w:p>
        </w:tc>
        <w:tc>
          <w:tcPr>
            <w:tcW w:w="603" w:type="pct"/>
            <w:vMerge w:val="continue"/>
            <w:vAlign w:val="center"/>
          </w:tcPr>
          <w:p>
            <w:pPr>
              <w:snapToGrid w:val="0"/>
              <w:spacing w:after="0" w:line="240" w:lineRule="auto"/>
              <w:jc w:val="both"/>
              <w:rPr>
                <w:rFonts w:hint="eastAsia" w:ascii="Nimbus Roman" w:hAnsi="Nimbus Roman" w:eastAsia="仿宋_GB2312" w:cs="仿宋_GB2312"/>
                <w:sz w:val="28"/>
                <w:szCs w:val="28"/>
              </w:rPr>
            </w:pPr>
          </w:p>
        </w:tc>
        <w:tc>
          <w:tcPr>
            <w:tcW w:w="1297" w:type="pct"/>
            <w:vMerge w:val="continue"/>
            <w:vAlign w:val="center"/>
          </w:tcPr>
          <w:p>
            <w:pPr>
              <w:widowControl/>
              <w:snapToGrid w:val="0"/>
              <w:spacing w:after="0" w:line="240" w:lineRule="auto"/>
              <w:jc w:val="both"/>
              <w:outlineLvl w:val="1"/>
              <w:rPr>
                <w:rFonts w:hint="eastAsia" w:ascii="Nimbus Roman" w:hAnsi="Nimbus Roman" w:eastAsia="仿宋_GB2312" w:cs="仿宋_GB2312"/>
                <w:sz w:val="28"/>
                <w:szCs w:val="28"/>
              </w:rPr>
            </w:pPr>
          </w:p>
        </w:tc>
        <w:tc>
          <w:tcPr>
            <w:tcW w:w="314" w:type="pct"/>
            <w:vAlign w:val="center"/>
          </w:tcPr>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从重</w:t>
            </w:r>
          </w:p>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处罚</w:t>
            </w:r>
          </w:p>
        </w:tc>
        <w:tc>
          <w:tcPr>
            <w:tcW w:w="353"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情节</w:t>
            </w:r>
          </w:p>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严重</w:t>
            </w:r>
          </w:p>
        </w:tc>
        <w:tc>
          <w:tcPr>
            <w:tcW w:w="114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1.特定民航生产经营单位未改正未开展安全表现监测违法行为的。</w:t>
            </w:r>
          </w:p>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2</w:t>
            </w:r>
            <w:bookmarkStart w:id="49" w:name="OLE_LINK9"/>
            <w:r>
              <w:rPr>
                <w:rFonts w:hint="eastAsia" w:ascii="Nimbus Roman" w:hAnsi="Nimbus Roman" w:eastAsia="仿宋_GB2312" w:cs="仿宋_GB2312"/>
                <w:sz w:val="28"/>
                <w:szCs w:val="28"/>
              </w:rPr>
              <w:t>.</w:t>
            </w:r>
            <w:r>
              <w:rPr>
                <w:rFonts w:ascii="Nimbus Roman" w:hAnsi="Nimbus Roman" w:eastAsia="仿宋_GB2312" w:cs="仿宋_GB2312"/>
                <w:sz w:val="28"/>
                <w:szCs w:val="28"/>
              </w:rPr>
              <w:t>非法设立的特定民航生产经营单位和未取得安全生产相关证照或者超许可范围开展民航生产经营活动的特定民航生产经营单位，</w:t>
            </w:r>
            <w:bookmarkEnd w:id="49"/>
            <w:r>
              <w:rPr>
                <w:rFonts w:hint="eastAsia" w:ascii="Nimbus Roman" w:hAnsi="Nimbus Roman" w:eastAsia="仿宋_GB2312" w:cs="仿宋_GB2312"/>
                <w:sz w:val="28"/>
                <w:szCs w:val="28"/>
              </w:rPr>
              <w:t>未开展安全表现监测工作的。</w:t>
            </w:r>
          </w:p>
        </w:tc>
        <w:tc>
          <w:tcPr>
            <w:tcW w:w="102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逾期未改正的，处2万元以上3万元以下的罚款。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 w:type="pct"/>
            <w:vMerge w:val="continue"/>
            <w:vAlign w:val="center"/>
          </w:tcPr>
          <w:p>
            <w:pPr>
              <w:snapToGrid w:val="0"/>
              <w:spacing w:after="0" w:line="240" w:lineRule="auto"/>
              <w:jc w:val="center"/>
              <w:rPr>
                <w:rFonts w:hint="eastAsia" w:ascii="Nimbus Roman" w:hAnsi="Nimbus Roman" w:eastAsia="仿宋_GB2312" w:cs="仿宋_GB2312"/>
                <w:sz w:val="28"/>
                <w:szCs w:val="28"/>
              </w:rPr>
            </w:pPr>
          </w:p>
        </w:tc>
        <w:tc>
          <w:tcPr>
            <w:tcW w:w="603" w:type="pct"/>
            <w:vMerge w:val="restart"/>
            <w:vAlign w:val="center"/>
          </w:tcPr>
          <w:p>
            <w:pPr>
              <w:snapToGrid w:val="0"/>
              <w:spacing w:after="0" w:line="240" w:lineRule="auto"/>
              <w:ind w:left="-3" w:leftChars="-8" w:hanging="14" w:hangingChars="5"/>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未制定安全培训大纲的</w:t>
            </w:r>
          </w:p>
        </w:tc>
        <w:tc>
          <w:tcPr>
            <w:tcW w:w="1297" w:type="pct"/>
            <w:vMerge w:val="restart"/>
            <w:vAlign w:val="center"/>
          </w:tcPr>
          <w:p>
            <w:pPr>
              <w:snapToGrid w:val="0"/>
              <w:spacing w:after="0" w:line="240" w:lineRule="auto"/>
              <w:jc w:val="both"/>
              <w:rPr>
                <w:rFonts w:hint="eastAsia" w:ascii="Nimbus Roman" w:hAnsi="Nimbus Roman" w:eastAsia="仿宋_GB2312" w:cs="仿宋_GB2312"/>
                <w:sz w:val="28"/>
                <w:szCs w:val="28"/>
              </w:rPr>
            </w:pPr>
            <w:bookmarkStart w:id="50" w:name="OLE_LINK12"/>
            <w:r>
              <w:rPr>
                <w:rFonts w:hint="eastAsia" w:ascii="Nimbus Roman" w:hAnsi="Nimbus Roman" w:eastAsia="仿宋_GB2312" w:cs="仿宋_GB2312"/>
                <w:sz w:val="28"/>
                <w:szCs w:val="28"/>
              </w:rPr>
              <w:t>《民用航空安全管理规定》</w:t>
            </w:r>
            <w:bookmarkEnd w:id="50"/>
            <w:r>
              <w:rPr>
                <w:rFonts w:hint="eastAsia" w:ascii="Nimbus Roman" w:hAnsi="Nimbus Roman" w:eastAsia="仿宋_GB2312" w:cs="仿宋_GB2312"/>
                <w:sz w:val="28"/>
                <w:szCs w:val="28"/>
              </w:rPr>
              <w:t>第二十四条 特定民航生产经营单位应当根据各岗位安全责任开展培训需求分析，制定并保持安全培训大纲，确保从业人员具备履行其安全责任的能力。安全培训大纲的范围应当与各级人员参与安全管理体系的程度相适合。</w:t>
            </w:r>
          </w:p>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《民用航空安全管理规定》第四十三条 特定民航生产经营单位有下列行为之一的，由民航地区管理局责令限期改正，予以警告或者通报批评；逾期未改正的，处1万元以上3万元以下的罚款：（二）违反本规定第二十四条，未制定安全培训大纲的。</w:t>
            </w:r>
          </w:p>
        </w:tc>
        <w:tc>
          <w:tcPr>
            <w:tcW w:w="314" w:type="pct"/>
            <w:vAlign w:val="center"/>
          </w:tcPr>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从轻</w:t>
            </w:r>
          </w:p>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处罚</w:t>
            </w:r>
          </w:p>
        </w:tc>
        <w:tc>
          <w:tcPr>
            <w:tcW w:w="353"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情节</w:t>
            </w:r>
          </w:p>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较轻</w:t>
            </w:r>
          </w:p>
        </w:tc>
        <w:tc>
          <w:tcPr>
            <w:tcW w:w="114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特定民航生产经营单位</w:t>
            </w:r>
            <w:bookmarkStart w:id="51" w:name="OLE_LINK10"/>
            <w:r>
              <w:rPr>
                <w:rFonts w:hint="eastAsia" w:ascii="Nimbus Roman" w:hAnsi="Nimbus Roman" w:eastAsia="仿宋_GB2312" w:cs="仿宋_GB2312"/>
                <w:sz w:val="28"/>
                <w:szCs w:val="28"/>
              </w:rPr>
              <w:t>未制定安全培训大纲，缺少3个以下</w:t>
            </w:r>
            <w:r>
              <w:rPr>
                <w:rFonts w:ascii="Nimbus Roman" w:hAnsi="Nimbus Roman" w:eastAsia="仿宋_GB2312" w:cs="仿宋_GB2312"/>
                <w:sz w:val="28"/>
                <w:szCs w:val="28"/>
              </w:rPr>
              <w:t>直接参与安全运行的</w:t>
            </w:r>
            <w:r>
              <w:rPr>
                <w:rFonts w:hint="eastAsia" w:ascii="Nimbus Roman" w:hAnsi="Nimbus Roman" w:eastAsia="仿宋_GB2312" w:cs="仿宋_GB2312"/>
                <w:sz w:val="28"/>
                <w:szCs w:val="28"/>
              </w:rPr>
              <w:t>岗位和安全管理人员岗位，</w:t>
            </w:r>
            <w:bookmarkEnd w:id="51"/>
            <w:r>
              <w:rPr>
                <w:rFonts w:hint="eastAsia" w:ascii="Nimbus Roman" w:hAnsi="Nimbus Roman" w:eastAsia="仿宋_GB2312" w:cs="仿宋_GB2312"/>
                <w:sz w:val="28"/>
                <w:szCs w:val="28"/>
              </w:rPr>
              <w:t>或者占本单位岗位总数比例不满10%的。</w:t>
            </w:r>
          </w:p>
        </w:tc>
        <w:tc>
          <w:tcPr>
            <w:tcW w:w="102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责令限期改正，予以警告；逾期未改正的，处1万元以上</w:t>
            </w:r>
            <w:bookmarkStart w:id="52" w:name="OLE_LINK42"/>
            <w:r>
              <w:rPr>
                <w:rFonts w:hint="eastAsia" w:ascii="Nimbus Roman" w:hAnsi="Nimbus Roman" w:eastAsia="仿宋_GB2312" w:cs="仿宋_GB2312"/>
                <w:sz w:val="28"/>
                <w:szCs w:val="28"/>
              </w:rPr>
              <w:t>1.6万</w:t>
            </w:r>
            <w:bookmarkEnd w:id="52"/>
            <w:r>
              <w:rPr>
                <w:rFonts w:hint="eastAsia" w:ascii="Nimbus Roman" w:hAnsi="Nimbus Roman" w:eastAsia="仿宋_GB2312" w:cs="仿宋_GB2312"/>
                <w:sz w:val="28"/>
                <w:szCs w:val="28"/>
              </w:rPr>
              <w:t>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 w:type="pct"/>
            <w:vMerge w:val="continue"/>
            <w:vAlign w:val="center"/>
          </w:tcPr>
          <w:p>
            <w:pPr>
              <w:snapToGrid w:val="0"/>
              <w:spacing w:after="0" w:line="240" w:lineRule="auto"/>
              <w:jc w:val="center"/>
              <w:rPr>
                <w:rFonts w:hint="eastAsia" w:ascii="Nimbus Roman" w:hAnsi="Nimbus Roman" w:eastAsia="仿宋_GB2312" w:cs="仿宋_GB2312"/>
                <w:sz w:val="28"/>
                <w:szCs w:val="28"/>
              </w:rPr>
            </w:pPr>
          </w:p>
        </w:tc>
        <w:tc>
          <w:tcPr>
            <w:tcW w:w="603" w:type="pct"/>
            <w:vMerge w:val="continue"/>
            <w:vAlign w:val="center"/>
          </w:tcPr>
          <w:p>
            <w:pPr>
              <w:snapToGrid w:val="0"/>
              <w:spacing w:after="0" w:line="240" w:lineRule="auto"/>
              <w:ind w:left="-3" w:leftChars="-8" w:hanging="14" w:hangingChars="5"/>
              <w:jc w:val="both"/>
              <w:rPr>
                <w:rFonts w:hint="eastAsia" w:ascii="Nimbus Roman" w:hAnsi="Nimbus Roman" w:eastAsia="仿宋_GB2312" w:cs="仿宋_GB2312"/>
                <w:sz w:val="28"/>
                <w:szCs w:val="28"/>
              </w:rPr>
            </w:pPr>
          </w:p>
        </w:tc>
        <w:tc>
          <w:tcPr>
            <w:tcW w:w="1297" w:type="pct"/>
            <w:vMerge w:val="continue"/>
            <w:vAlign w:val="center"/>
          </w:tcPr>
          <w:p>
            <w:pPr>
              <w:snapToGrid w:val="0"/>
              <w:spacing w:after="0" w:line="240" w:lineRule="auto"/>
              <w:jc w:val="both"/>
              <w:rPr>
                <w:rFonts w:hint="eastAsia" w:ascii="Nimbus Roman" w:hAnsi="Nimbus Roman" w:eastAsia="仿宋_GB2312" w:cs="仿宋_GB2312"/>
                <w:sz w:val="28"/>
                <w:szCs w:val="28"/>
              </w:rPr>
            </w:pPr>
          </w:p>
        </w:tc>
        <w:tc>
          <w:tcPr>
            <w:tcW w:w="314" w:type="pct"/>
            <w:vAlign w:val="center"/>
          </w:tcPr>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一般</w:t>
            </w:r>
          </w:p>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处罚</w:t>
            </w:r>
          </w:p>
        </w:tc>
        <w:tc>
          <w:tcPr>
            <w:tcW w:w="353"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情节</w:t>
            </w:r>
          </w:p>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一般</w:t>
            </w:r>
          </w:p>
        </w:tc>
        <w:tc>
          <w:tcPr>
            <w:tcW w:w="114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特定民航生产经营单位未制定安全培训大纲，缺少4个以上10个以下</w:t>
            </w:r>
            <w:r>
              <w:rPr>
                <w:rFonts w:ascii="Nimbus Roman" w:hAnsi="Nimbus Roman" w:eastAsia="仿宋_GB2312" w:cs="仿宋_GB2312"/>
                <w:sz w:val="28"/>
                <w:szCs w:val="28"/>
              </w:rPr>
              <w:t>直接参与安全运行的</w:t>
            </w:r>
            <w:r>
              <w:rPr>
                <w:rFonts w:hint="eastAsia" w:ascii="Nimbus Roman" w:hAnsi="Nimbus Roman" w:eastAsia="仿宋_GB2312" w:cs="仿宋_GB2312"/>
                <w:sz w:val="28"/>
                <w:szCs w:val="28"/>
              </w:rPr>
              <w:t>岗位和安全管理人员岗位，或者占本单位岗位总数比例10%以上但不满30%的。</w:t>
            </w:r>
          </w:p>
        </w:tc>
        <w:tc>
          <w:tcPr>
            <w:tcW w:w="102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责令限期改正，予以警告；逾期未改正的，处1.6万以上2.4</w:t>
            </w:r>
            <w:r>
              <w:rPr>
                <w:rFonts w:ascii="Nimbus Roman" w:hAnsi="Nimbus Roman" w:eastAsia="仿宋_GB2312" w:cs="仿宋_GB2312"/>
                <w:sz w:val="28"/>
                <w:szCs w:val="28"/>
              </w:rPr>
              <w:t>万</w:t>
            </w:r>
            <w:r>
              <w:rPr>
                <w:rFonts w:hint="eastAsia" w:ascii="Nimbus Roman" w:hAnsi="Nimbus Roman" w:eastAsia="仿宋_GB2312" w:cs="仿宋_GB2312"/>
                <w:sz w:val="28"/>
                <w:szCs w:val="28"/>
              </w:rPr>
              <w:t>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 w:type="pct"/>
            <w:vMerge w:val="continue"/>
            <w:vAlign w:val="center"/>
          </w:tcPr>
          <w:p>
            <w:pPr>
              <w:snapToGrid w:val="0"/>
              <w:spacing w:after="0" w:line="240" w:lineRule="auto"/>
              <w:jc w:val="center"/>
              <w:rPr>
                <w:rFonts w:hint="eastAsia" w:ascii="Nimbus Roman" w:hAnsi="Nimbus Roman" w:eastAsia="仿宋_GB2312" w:cs="仿宋_GB2312"/>
                <w:sz w:val="28"/>
                <w:szCs w:val="28"/>
              </w:rPr>
            </w:pPr>
          </w:p>
        </w:tc>
        <w:tc>
          <w:tcPr>
            <w:tcW w:w="603" w:type="pct"/>
            <w:vMerge w:val="continue"/>
            <w:vAlign w:val="center"/>
          </w:tcPr>
          <w:p>
            <w:pPr>
              <w:snapToGrid w:val="0"/>
              <w:spacing w:after="0" w:line="240" w:lineRule="auto"/>
              <w:ind w:left="-3" w:leftChars="-8" w:hanging="14" w:hangingChars="5"/>
              <w:jc w:val="both"/>
              <w:rPr>
                <w:rFonts w:hint="eastAsia" w:ascii="Nimbus Roman" w:hAnsi="Nimbus Roman" w:eastAsia="仿宋_GB2312" w:cs="仿宋_GB2312"/>
                <w:sz w:val="28"/>
                <w:szCs w:val="28"/>
              </w:rPr>
            </w:pPr>
          </w:p>
        </w:tc>
        <w:tc>
          <w:tcPr>
            <w:tcW w:w="1297" w:type="pct"/>
            <w:vMerge w:val="continue"/>
            <w:vAlign w:val="center"/>
          </w:tcPr>
          <w:p>
            <w:pPr>
              <w:snapToGrid w:val="0"/>
              <w:spacing w:after="0" w:line="240" w:lineRule="auto"/>
              <w:jc w:val="both"/>
              <w:rPr>
                <w:rFonts w:hint="eastAsia" w:ascii="Nimbus Roman" w:hAnsi="Nimbus Roman" w:eastAsia="仿宋_GB2312" w:cs="仿宋_GB2312"/>
                <w:sz w:val="28"/>
                <w:szCs w:val="28"/>
              </w:rPr>
            </w:pPr>
          </w:p>
        </w:tc>
        <w:tc>
          <w:tcPr>
            <w:tcW w:w="314" w:type="pct"/>
            <w:vAlign w:val="center"/>
          </w:tcPr>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从重</w:t>
            </w:r>
          </w:p>
          <w:p>
            <w:pPr>
              <w:snapToGrid w:val="0"/>
              <w:spacing w:after="0" w:line="240" w:lineRule="auto"/>
              <w:jc w:val="center"/>
              <w:rPr>
                <w:rFonts w:hint="eastAsia" w:ascii="Nimbus Roman" w:hAnsi="Nimbus Roman" w:eastAsia="仿宋_GB2312" w:cs="Times New Roman"/>
                <w:sz w:val="28"/>
                <w:szCs w:val="28"/>
              </w:rPr>
            </w:pPr>
            <w:r>
              <w:rPr>
                <w:rFonts w:hint="eastAsia" w:ascii="Nimbus Roman" w:hAnsi="Nimbus Roman" w:eastAsia="仿宋_GB2312" w:cs="Times New Roman"/>
                <w:sz w:val="28"/>
                <w:szCs w:val="28"/>
              </w:rPr>
              <w:t>处罚</w:t>
            </w:r>
          </w:p>
        </w:tc>
        <w:tc>
          <w:tcPr>
            <w:tcW w:w="353"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情节</w:t>
            </w:r>
          </w:p>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严重</w:t>
            </w:r>
          </w:p>
        </w:tc>
        <w:tc>
          <w:tcPr>
            <w:tcW w:w="114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1.特定民航生产经营单位未制定安全培训大纲，缺少11个以上</w:t>
            </w:r>
            <w:r>
              <w:rPr>
                <w:rFonts w:ascii="Nimbus Roman" w:hAnsi="Nimbus Roman" w:eastAsia="仿宋_GB2312" w:cs="仿宋_GB2312"/>
                <w:sz w:val="28"/>
                <w:szCs w:val="28"/>
              </w:rPr>
              <w:t>直接参与安全运行的</w:t>
            </w:r>
            <w:r>
              <w:rPr>
                <w:rFonts w:hint="eastAsia" w:ascii="Nimbus Roman" w:hAnsi="Nimbus Roman" w:eastAsia="仿宋_GB2312" w:cs="仿宋_GB2312"/>
                <w:sz w:val="28"/>
                <w:szCs w:val="28"/>
              </w:rPr>
              <w:t>岗位和安全管理人员岗位，或者占本单位岗位总数比例30%以上的。</w:t>
            </w:r>
          </w:p>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2.</w:t>
            </w:r>
            <w:r>
              <w:rPr>
                <w:rFonts w:ascii="Nimbus Roman" w:hAnsi="Nimbus Roman" w:eastAsia="仿宋_GB2312" w:cs="仿宋_GB2312"/>
                <w:sz w:val="28"/>
                <w:szCs w:val="28"/>
              </w:rPr>
              <w:t>非法设立的特定民航生产经营单位和未取得安全生产相关证照或者超许可范围开展民航生产经营活动的特定民航生产经营单位</w:t>
            </w:r>
            <w:r>
              <w:rPr>
                <w:rFonts w:hint="eastAsia" w:ascii="Nimbus Roman" w:hAnsi="Nimbus Roman" w:eastAsia="仿宋_GB2312" w:cs="仿宋_GB2312"/>
                <w:sz w:val="28"/>
                <w:szCs w:val="28"/>
              </w:rPr>
              <w:t>未制定安全培训大纲</w:t>
            </w:r>
            <w:r>
              <w:rPr>
                <w:rFonts w:ascii="Nimbus Roman" w:hAnsi="Nimbus Roman" w:eastAsia="仿宋_GB2312" w:cs="仿宋_GB2312"/>
                <w:sz w:val="28"/>
                <w:szCs w:val="28"/>
              </w:rPr>
              <w:t>，</w:t>
            </w:r>
            <w:r>
              <w:rPr>
                <w:rFonts w:hint="eastAsia" w:ascii="Nimbus Roman" w:hAnsi="Nimbus Roman" w:eastAsia="仿宋_GB2312" w:cs="仿宋_GB2312"/>
                <w:sz w:val="28"/>
                <w:szCs w:val="28"/>
              </w:rPr>
              <w:t>缺少1个直接参与安全运行的岗位或者安全管理人员岗位。</w:t>
            </w:r>
          </w:p>
        </w:tc>
        <w:tc>
          <w:tcPr>
            <w:tcW w:w="1024" w:type="pct"/>
            <w:vAlign w:val="center"/>
          </w:tcPr>
          <w:p>
            <w:pPr>
              <w:snapToGrid w:val="0"/>
              <w:spacing w:after="0" w:line="240" w:lineRule="auto"/>
              <w:jc w:val="both"/>
              <w:rPr>
                <w:rFonts w:hint="eastAsia" w:ascii="Nimbus Roman" w:hAnsi="Nimbus Roman" w:eastAsia="仿宋_GB2312" w:cs="仿宋_GB2312"/>
                <w:sz w:val="28"/>
                <w:szCs w:val="28"/>
              </w:rPr>
            </w:pPr>
            <w:r>
              <w:rPr>
                <w:rFonts w:hint="eastAsia" w:ascii="Nimbus Roman" w:hAnsi="Nimbus Roman" w:eastAsia="仿宋_GB2312" w:cs="仿宋_GB2312"/>
                <w:sz w:val="28"/>
                <w:szCs w:val="28"/>
              </w:rPr>
              <w:t>责令限期改正，予以通报批评；逾期未改正的，处2.4</w:t>
            </w:r>
            <w:r>
              <w:rPr>
                <w:rFonts w:ascii="Nimbus Roman" w:hAnsi="Nimbus Roman" w:eastAsia="仿宋_GB2312" w:cs="仿宋_GB2312"/>
                <w:sz w:val="28"/>
                <w:szCs w:val="28"/>
              </w:rPr>
              <w:t>万</w:t>
            </w:r>
            <w:r>
              <w:rPr>
                <w:rFonts w:hint="eastAsia" w:ascii="Nimbus Roman" w:hAnsi="Nimbus Roman" w:eastAsia="仿宋_GB2312" w:cs="仿宋_GB2312"/>
                <w:sz w:val="28"/>
                <w:szCs w:val="28"/>
              </w:rPr>
              <w:t>以上3万元以下的罚款。</w:t>
            </w:r>
          </w:p>
        </w:tc>
      </w:tr>
    </w:tbl>
    <w:p>
      <w:pPr>
        <w:adjustRightInd w:val="0"/>
        <w:snapToGrid w:val="0"/>
        <w:spacing w:after="0" w:line="560" w:lineRule="exact"/>
        <w:ind w:firstLine="640" w:firstLineChars="200"/>
        <w:jc w:val="both"/>
        <w:rPr>
          <w:rFonts w:hint="eastAsia" w:ascii="仿宋_GB2312" w:hAnsi="宋体" w:eastAsia="仿宋_GB2312" w:cstheme="minorEastAsia"/>
          <w:sz w:val="32"/>
          <w:szCs w:val="32"/>
          <w14:ligatures w14:val="none"/>
        </w:rPr>
      </w:pPr>
      <w:r>
        <w:rPr>
          <w:rFonts w:hint="eastAsia" w:ascii="仿宋_GB2312" w:hAnsi="宋体" w:eastAsia="仿宋_GB2312" w:cstheme="minorEastAsia"/>
          <w:sz w:val="32"/>
          <w:szCs w:val="32"/>
          <w14:ligatures w14:val="none"/>
        </w:rPr>
        <w:t>附注：</w:t>
      </w:r>
    </w:p>
    <w:p>
      <w:pPr>
        <w:adjustRightInd w:val="0"/>
        <w:snapToGrid w:val="0"/>
        <w:spacing w:after="0" w:line="560" w:lineRule="exact"/>
        <w:ind w:firstLine="640" w:firstLineChars="200"/>
        <w:jc w:val="both"/>
        <w:rPr>
          <w:rFonts w:hint="eastAsia" w:ascii="仿宋_GB2312" w:hAnsi="宋体" w:eastAsia="仿宋_GB2312" w:cstheme="minorEastAsia"/>
          <w:sz w:val="32"/>
          <w:szCs w:val="32"/>
          <w14:ligatures w14:val="none"/>
        </w:rPr>
      </w:pPr>
      <w:r>
        <w:rPr>
          <w:rFonts w:hint="eastAsia" w:ascii="仿宋_GB2312" w:hAnsi="宋体" w:eastAsia="仿宋_GB2312" w:cstheme="minorEastAsia"/>
          <w:sz w:val="32"/>
          <w:szCs w:val="32"/>
          <w14:ligatures w14:val="none"/>
        </w:rPr>
        <w:t>1.</w:t>
      </w:r>
      <w:r>
        <w:rPr>
          <w:rFonts w:ascii="Times New Roman" w:hAnsi="Times New Roman" w:eastAsia="华文仿宋" w:cs="Times New Roman"/>
          <w:sz w:val="32"/>
          <w:szCs w:val="32"/>
        </w:rPr>
        <w:t>《〈民用航空安全管理规定〉法律责任行政裁量基准》（以下简称《基准》）根</w:t>
      </w:r>
      <w:r>
        <w:rPr>
          <w:rFonts w:ascii="仿宋_GB2312" w:hAnsi="宋体" w:eastAsia="仿宋_GB2312" w:cstheme="minorEastAsia"/>
          <w:sz w:val="32"/>
          <w:szCs w:val="32"/>
          <w14:ligatures w14:val="none"/>
        </w:rPr>
        <w:t>据立法目的和行政处罚原则，综合考虑了违法的事实、性质、手段、后果、情节和改正措施等因素，在法律、行政法规、部门规章规定的处罚幅度内，对具体条文采取分级原则进行裁量，对罚款数额进行细化。根据社会危害性、情节严重性等，将各类违法行为划定为</w:t>
      </w:r>
      <w:r>
        <w:rPr>
          <w:rFonts w:hint="eastAsia" w:ascii="仿宋_GB2312" w:hAnsi="宋体" w:eastAsia="仿宋_GB2312" w:cstheme="minorEastAsia"/>
          <w:sz w:val="32"/>
          <w:szCs w:val="32"/>
          <w14:ligatures w14:val="none"/>
        </w:rPr>
        <w:t>从轻处罚、一般处罚、从重处罚</w:t>
      </w:r>
      <w:r>
        <w:rPr>
          <w:rFonts w:ascii="仿宋_GB2312" w:hAnsi="宋体" w:eastAsia="仿宋_GB2312" w:cstheme="minorEastAsia"/>
          <w:sz w:val="32"/>
          <w:szCs w:val="32"/>
          <w14:ligatures w14:val="none"/>
        </w:rPr>
        <w:t>等不同基础裁量阶次。在不同裁量阶次内，实施行政处罚时，</w:t>
      </w:r>
      <w:r>
        <w:rPr>
          <w:rFonts w:hint="eastAsia" w:ascii="仿宋_GB2312" w:hAnsi="宋体" w:eastAsia="仿宋_GB2312" w:cstheme="minorEastAsia"/>
          <w:sz w:val="32"/>
          <w:szCs w:val="32"/>
          <w14:ligatures w14:val="none"/>
        </w:rPr>
        <w:t>民航行政机关</w:t>
      </w:r>
      <w:r>
        <w:rPr>
          <w:rFonts w:ascii="仿宋_GB2312" w:hAnsi="宋体" w:eastAsia="仿宋_GB2312" w:cstheme="minorEastAsia"/>
          <w:sz w:val="32"/>
          <w:szCs w:val="32"/>
          <w14:ligatures w14:val="none"/>
        </w:rPr>
        <w:t>应当综合考虑违法行为的对象、后果、数额、次数、行为人主观过错等因素作出具体的行政处罚决定。</w:t>
      </w:r>
    </w:p>
    <w:p>
      <w:pPr>
        <w:adjustRightInd w:val="0"/>
        <w:snapToGrid w:val="0"/>
        <w:spacing w:after="0" w:line="560" w:lineRule="exact"/>
        <w:ind w:firstLine="640" w:firstLineChars="200"/>
        <w:jc w:val="both"/>
        <w:rPr>
          <w:rFonts w:hint="eastAsia" w:ascii="仿宋_GB2312" w:hAnsi="宋体" w:eastAsia="仿宋_GB2312" w:cstheme="minorEastAsia"/>
          <w:sz w:val="32"/>
          <w:szCs w:val="32"/>
          <w14:ligatures w14:val="none"/>
        </w:rPr>
      </w:pPr>
      <w:r>
        <w:rPr>
          <w:rFonts w:hint="eastAsia" w:ascii="仿宋_GB2312" w:hAnsi="宋体" w:eastAsia="仿宋_GB2312" w:cstheme="minorEastAsia"/>
          <w:sz w:val="32"/>
          <w:szCs w:val="32"/>
          <w14:ligatures w14:val="none"/>
        </w:rPr>
        <w:t>2.民航生产经营单位</w:t>
      </w:r>
      <w:r>
        <w:rPr>
          <w:rFonts w:ascii="仿宋_GB2312" w:hAnsi="宋体" w:eastAsia="仿宋_GB2312" w:cstheme="minorEastAsia"/>
          <w:sz w:val="32"/>
          <w:szCs w:val="32"/>
          <w14:ligatures w14:val="none"/>
        </w:rPr>
        <w:t>有下列情形之一的，应当依法从轻</w:t>
      </w:r>
      <w:r>
        <w:rPr>
          <w:rFonts w:hint="eastAsia" w:ascii="仿宋_GB2312" w:hAnsi="宋体" w:eastAsia="仿宋_GB2312" w:cstheme="minorEastAsia"/>
          <w:sz w:val="32"/>
          <w:szCs w:val="32"/>
          <w14:ligatures w14:val="none"/>
        </w:rPr>
        <w:t>或者减轻</w:t>
      </w:r>
      <w:r>
        <w:rPr>
          <w:rFonts w:ascii="仿宋_GB2312" w:hAnsi="宋体" w:eastAsia="仿宋_GB2312" w:cstheme="minorEastAsia"/>
          <w:sz w:val="32"/>
          <w:szCs w:val="32"/>
          <w14:ligatures w14:val="none"/>
        </w:rPr>
        <w:t>行政处罚：</w:t>
      </w:r>
    </w:p>
    <w:p>
      <w:pPr>
        <w:adjustRightInd w:val="0"/>
        <w:snapToGrid w:val="0"/>
        <w:spacing w:after="0" w:line="560" w:lineRule="exact"/>
        <w:ind w:firstLine="640" w:firstLineChars="200"/>
        <w:jc w:val="both"/>
        <w:rPr>
          <w:rFonts w:hint="eastAsia" w:ascii="仿宋_GB2312" w:hAnsi="宋体" w:eastAsia="仿宋_GB2312" w:cstheme="minorEastAsia"/>
          <w:sz w:val="32"/>
          <w:szCs w:val="32"/>
          <w14:ligatures w14:val="none"/>
        </w:rPr>
      </w:pPr>
      <w:r>
        <w:rPr>
          <w:rFonts w:ascii="仿宋_GB2312" w:hAnsi="宋体" w:eastAsia="仿宋_GB2312" w:cstheme="minorEastAsia"/>
          <w:sz w:val="32"/>
          <w:szCs w:val="32"/>
          <w14:ligatures w14:val="none"/>
        </w:rPr>
        <w:t>（</w:t>
      </w:r>
      <w:r>
        <w:rPr>
          <w:rFonts w:hint="eastAsia" w:ascii="仿宋_GB2312" w:hAnsi="宋体" w:eastAsia="仿宋_GB2312" w:cstheme="minorEastAsia"/>
          <w:sz w:val="32"/>
          <w:szCs w:val="32"/>
          <w14:ligatures w14:val="none"/>
        </w:rPr>
        <w:t>1</w:t>
      </w:r>
      <w:r>
        <w:rPr>
          <w:rFonts w:ascii="仿宋_GB2312" w:hAnsi="宋体" w:eastAsia="仿宋_GB2312" w:cstheme="minorEastAsia"/>
          <w:sz w:val="32"/>
          <w:szCs w:val="32"/>
          <w14:ligatures w14:val="none"/>
        </w:rPr>
        <w:t>）主动消除或者减轻违法行为危害后果的；</w:t>
      </w:r>
    </w:p>
    <w:p>
      <w:pPr>
        <w:adjustRightInd w:val="0"/>
        <w:snapToGrid w:val="0"/>
        <w:spacing w:after="0" w:line="560" w:lineRule="exact"/>
        <w:ind w:firstLine="640" w:firstLineChars="200"/>
        <w:jc w:val="both"/>
        <w:rPr>
          <w:rFonts w:hint="eastAsia" w:ascii="仿宋_GB2312" w:hAnsi="宋体" w:eastAsia="仿宋_GB2312" w:cstheme="minorEastAsia"/>
          <w:sz w:val="32"/>
          <w:szCs w:val="32"/>
          <w14:ligatures w14:val="none"/>
        </w:rPr>
      </w:pPr>
      <w:r>
        <w:rPr>
          <w:rFonts w:ascii="仿宋_GB2312" w:hAnsi="宋体" w:eastAsia="仿宋_GB2312" w:cstheme="minorEastAsia"/>
          <w:sz w:val="32"/>
          <w:szCs w:val="32"/>
          <w14:ligatures w14:val="none"/>
        </w:rPr>
        <w:t>（</w:t>
      </w:r>
      <w:r>
        <w:rPr>
          <w:rFonts w:hint="eastAsia" w:ascii="仿宋_GB2312" w:hAnsi="宋体" w:eastAsia="仿宋_GB2312" w:cstheme="minorEastAsia"/>
          <w:sz w:val="32"/>
          <w:szCs w:val="32"/>
          <w14:ligatures w14:val="none"/>
        </w:rPr>
        <w:t>2</w:t>
      </w:r>
      <w:r>
        <w:rPr>
          <w:rFonts w:ascii="仿宋_GB2312" w:hAnsi="宋体" w:eastAsia="仿宋_GB2312" w:cstheme="minorEastAsia"/>
          <w:sz w:val="32"/>
          <w:szCs w:val="32"/>
          <w14:ligatures w14:val="none"/>
        </w:rPr>
        <w:t>）配合</w:t>
      </w:r>
      <w:r>
        <w:rPr>
          <w:rFonts w:hint="eastAsia" w:ascii="仿宋_GB2312" w:hAnsi="宋体" w:eastAsia="仿宋_GB2312" w:cstheme="minorEastAsia"/>
          <w:sz w:val="32"/>
          <w:szCs w:val="32"/>
          <w14:ligatures w14:val="none"/>
        </w:rPr>
        <w:t>民航行政机关</w:t>
      </w:r>
      <w:r>
        <w:rPr>
          <w:rFonts w:ascii="仿宋_GB2312" w:hAnsi="宋体" w:eastAsia="仿宋_GB2312" w:cstheme="minorEastAsia"/>
          <w:sz w:val="32"/>
          <w:szCs w:val="32"/>
          <w14:ligatures w14:val="none"/>
        </w:rPr>
        <w:t>查处违法行为，有立功表现的；</w:t>
      </w:r>
    </w:p>
    <w:p>
      <w:pPr>
        <w:adjustRightInd w:val="0"/>
        <w:snapToGrid w:val="0"/>
        <w:spacing w:after="0" w:line="560" w:lineRule="exact"/>
        <w:ind w:firstLine="640" w:firstLineChars="200"/>
        <w:jc w:val="both"/>
        <w:rPr>
          <w:rFonts w:hint="eastAsia" w:ascii="仿宋_GB2312" w:hAnsi="宋体" w:eastAsia="仿宋_GB2312" w:cstheme="minorEastAsia"/>
          <w:sz w:val="32"/>
          <w:szCs w:val="32"/>
          <w14:ligatures w14:val="none"/>
        </w:rPr>
      </w:pPr>
      <w:r>
        <w:rPr>
          <w:rFonts w:ascii="仿宋_GB2312" w:hAnsi="宋体" w:eastAsia="仿宋_GB2312" w:cstheme="minorEastAsia"/>
          <w:sz w:val="32"/>
          <w:szCs w:val="32"/>
          <w14:ligatures w14:val="none"/>
        </w:rPr>
        <w:t>（</w:t>
      </w:r>
      <w:r>
        <w:rPr>
          <w:rFonts w:hint="eastAsia" w:ascii="仿宋_GB2312" w:hAnsi="宋体" w:eastAsia="仿宋_GB2312" w:cstheme="minorEastAsia"/>
          <w:sz w:val="32"/>
          <w:szCs w:val="32"/>
          <w14:ligatures w14:val="none"/>
        </w:rPr>
        <w:t>3</w:t>
      </w:r>
      <w:r>
        <w:rPr>
          <w:rFonts w:ascii="仿宋_GB2312" w:hAnsi="宋体" w:eastAsia="仿宋_GB2312" w:cstheme="minorEastAsia"/>
          <w:sz w:val="32"/>
          <w:szCs w:val="32"/>
          <w14:ligatures w14:val="none"/>
        </w:rPr>
        <w:t>）主动供述</w:t>
      </w:r>
      <w:r>
        <w:rPr>
          <w:rFonts w:hint="eastAsia" w:ascii="仿宋_GB2312" w:hAnsi="宋体" w:eastAsia="仿宋_GB2312" w:cstheme="minorEastAsia"/>
          <w:sz w:val="32"/>
          <w:szCs w:val="32"/>
          <w14:ligatures w14:val="none"/>
        </w:rPr>
        <w:t>民航行政机关</w:t>
      </w:r>
      <w:r>
        <w:rPr>
          <w:rFonts w:ascii="仿宋_GB2312" w:hAnsi="宋体" w:eastAsia="仿宋_GB2312" w:cstheme="minorEastAsia"/>
          <w:sz w:val="32"/>
          <w:szCs w:val="32"/>
          <w14:ligatures w14:val="none"/>
        </w:rPr>
        <w:t>尚未掌握的违法行为的；</w:t>
      </w:r>
    </w:p>
    <w:p>
      <w:pPr>
        <w:adjustRightInd w:val="0"/>
        <w:snapToGrid w:val="0"/>
        <w:spacing w:after="0" w:line="560" w:lineRule="exact"/>
        <w:ind w:firstLine="640" w:firstLineChars="200"/>
        <w:jc w:val="both"/>
        <w:rPr>
          <w:rFonts w:hint="eastAsia" w:ascii="仿宋_GB2312" w:hAnsi="宋体" w:eastAsia="仿宋_GB2312" w:cstheme="minorEastAsia"/>
          <w:sz w:val="32"/>
          <w:szCs w:val="32"/>
          <w14:ligatures w14:val="none"/>
        </w:rPr>
      </w:pPr>
      <w:r>
        <w:rPr>
          <w:rFonts w:ascii="仿宋_GB2312" w:hAnsi="宋体" w:eastAsia="仿宋_GB2312" w:cstheme="minorEastAsia"/>
          <w:sz w:val="32"/>
          <w:szCs w:val="32"/>
          <w14:ligatures w14:val="none"/>
        </w:rPr>
        <w:t>（</w:t>
      </w:r>
      <w:r>
        <w:rPr>
          <w:rFonts w:hint="eastAsia" w:ascii="仿宋_GB2312" w:hAnsi="宋体" w:eastAsia="仿宋_GB2312" w:cstheme="minorEastAsia"/>
          <w:sz w:val="32"/>
          <w:szCs w:val="32"/>
          <w14:ligatures w14:val="none"/>
        </w:rPr>
        <w:t>4</w:t>
      </w:r>
      <w:r>
        <w:rPr>
          <w:rFonts w:ascii="仿宋_GB2312" w:hAnsi="宋体" w:eastAsia="仿宋_GB2312" w:cstheme="minorEastAsia"/>
          <w:sz w:val="32"/>
          <w:szCs w:val="32"/>
          <w14:ligatures w14:val="none"/>
        </w:rPr>
        <w:t>）法律、法规、规章规定其他从轻或者减轻行政处罚的。</w:t>
      </w:r>
    </w:p>
    <w:p>
      <w:pPr>
        <w:adjustRightInd w:val="0"/>
        <w:snapToGrid w:val="0"/>
        <w:spacing w:after="0" w:line="560" w:lineRule="exact"/>
        <w:ind w:firstLine="640" w:firstLineChars="200"/>
        <w:jc w:val="both"/>
        <w:rPr>
          <w:rFonts w:hint="eastAsia" w:ascii="仿宋_GB2312" w:hAnsi="宋体" w:eastAsia="仿宋_GB2312" w:cstheme="minorEastAsia"/>
          <w:sz w:val="32"/>
          <w:szCs w:val="32"/>
          <w14:ligatures w14:val="none"/>
        </w:rPr>
      </w:pPr>
      <w:r>
        <w:rPr>
          <w:rFonts w:hint="eastAsia" w:ascii="仿宋_GB2312" w:hAnsi="宋体" w:eastAsia="仿宋_GB2312" w:cstheme="minorEastAsia"/>
          <w:sz w:val="32"/>
          <w:szCs w:val="32"/>
          <w14:ligatures w14:val="none"/>
        </w:rPr>
        <w:t>民航生产经营单位</w:t>
      </w:r>
      <w:r>
        <w:rPr>
          <w:rFonts w:ascii="仿宋_GB2312" w:hAnsi="宋体" w:eastAsia="仿宋_GB2312" w:cstheme="minorEastAsia"/>
          <w:sz w:val="32"/>
          <w:szCs w:val="32"/>
          <w14:ligatures w14:val="none"/>
        </w:rPr>
        <w:t>存在从轻处罚情节的，应当在法定处罚种类和处罚幅度内，适用较轻、较少的处罚种类或者较低的处罚幅度。</w:t>
      </w:r>
      <w:r>
        <w:rPr>
          <w:rFonts w:hint="eastAsia" w:ascii="仿宋_GB2312" w:hAnsi="宋体" w:eastAsia="仿宋_GB2312" w:cstheme="minorEastAsia"/>
          <w:sz w:val="32"/>
          <w:szCs w:val="32"/>
          <w14:ligatures w14:val="none"/>
        </w:rPr>
        <w:t>民航生产经营单位</w:t>
      </w:r>
      <w:r>
        <w:rPr>
          <w:rFonts w:ascii="仿宋_GB2312" w:hAnsi="宋体" w:eastAsia="仿宋_GB2312" w:cstheme="minorEastAsia"/>
          <w:sz w:val="32"/>
          <w:szCs w:val="32"/>
          <w14:ligatures w14:val="none"/>
        </w:rPr>
        <w:t>存在减轻处罚情节的，应当适用法定行政处罚最低限度以下的处罚种类或者处罚幅度，包括应当并处时不并处、在法定最低罚款限值以下确定罚款数额等情形。对</w:t>
      </w:r>
      <w:r>
        <w:rPr>
          <w:rFonts w:hint="eastAsia" w:ascii="仿宋_GB2312" w:hAnsi="宋体" w:eastAsia="仿宋_GB2312" w:cstheme="minorEastAsia"/>
          <w:sz w:val="32"/>
          <w:szCs w:val="32"/>
          <w14:ligatures w14:val="none"/>
        </w:rPr>
        <w:t>民航生产经营单位</w:t>
      </w:r>
      <w:r>
        <w:rPr>
          <w:rFonts w:ascii="仿宋_GB2312" w:hAnsi="宋体" w:eastAsia="仿宋_GB2312" w:cstheme="minorEastAsia"/>
          <w:sz w:val="32"/>
          <w:szCs w:val="32"/>
          <w14:ligatures w14:val="none"/>
        </w:rPr>
        <w:t>作出减轻处罚决定的，应当经</w:t>
      </w:r>
      <w:r>
        <w:rPr>
          <w:rFonts w:hint="eastAsia" w:ascii="仿宋_GB2312" w:hAnsi="宋体" w:eastAsia="仿宋_GB2312" w:cstheme="minorEastAsia"/>
          <w:sz w:val="32"/>
          <w:szCs w:val="32"/>
          <w14:ligatures w14:val="none"/>
        </w:rPr>
        <w:t>相关民航行政机关</w:t>
      </w:r>
      <w:r>
        <w:rPr>
          <w:rFonts w:ascii="仿宋_GB2312" w:hAnsi="宋体" w:eastAsia="仿宋_GB2312" w:cstheme="minorEastAsia"/>
          <w:sz w:val="32"/>
          <w:szCs w:val="32"/>
          <w14:ligatures w14:val="none"/>
        </w:rPr>
        <w:t>负责人集体讨论。</w:t>
      </w:r>
    </w:p>
    <w:p>
      <w:pPr>
        <w:adjustRightInd w:val="0"/>
        <w:snapToGrid w:val="0"/>
        <w:spacing w:after="0" w:line="560" w:lineRule="exact"/>
        <w:ind w:firstLine="640" w:firstLineChars="200"/>
        <w:jc w:val="both"/>
        <w:rPr>
          <w:rFonts w:hint="eastAsia" w:ascii="仿宋_GB2312" w:hAnsi="宋体" w:eastAsia="仿宋_GB2312" w:cstheme="minorEastAsia"/>
          <w:sz w:val="32"/>
          <w:szCs w:val="32"/>
          <w14:ligatures w14:val="none"/>
        </w:rPr>
      </w:pPr>
      <w:r>
        <w:rPr>
          <w:rFonts w:hint="eastAsia" w:ascii="仿宋_GB2312" w:hAnsi="宋体" w:eastAsia="仿宋_GB2312" w:cstheme="minorEastAsia"/>
          <w:sz w:val="32"/>
          <w:szCs w:val="32"/>
          <w14:ligatures w14:val="none"/>
        </w:rPr>
        <w:t>3.民航生产经营单位</w:t>
      </w:r>
      <w:r>
        <w:rPr>
          <w:rFonts w:ascii="仿宋_GB2312" w:hAnsi="宋体" w:eastAsia="仿宋_GB2312" w:cstheme="minorEastAsia"/>
          <w:sz w:val="32"/>
          <w:szCs w:val="32"/>
          <w14:ligatures w14:val="none"/>
        </w:rPr>
        <w:t>有下列情形之一的，应当依法从重处罚：</w:t>
      </w:r>
    </w:p>
    <w:p>
      <w:pPr>
        <w:adjustRightInd w:val="0"/>
        <w:snapToGrid w:val="0"/>
        <w:spacing w:after="0" w:line="560" w:lineRule="exact"/>
        <w:ind w:firstLine="640" w:firstLineChars="200"/>
        <w:jc w:val="both"/>
        <w:rPr>
          <w:rFonts w:hint="eastAsia" w:ascii="仿宋_GB2312" w:hAnsi="宋体" w:eastAsia="仿宋_GB2312" w:cstheme="minorEastAsia"/>
          <w:sz w:val="32"/>
          <w:szCs w:val="32"/>
          <w14:ligatures w14:val="none"/>
        </w:rPr>
      </w:pPr>
      <w:r>
        <w:rPr>
          <w:rFonts w:ascii="仿宋_GB2312" w:hAnsi="宋体" w:eastAsia="仿宋_GB2312" w:cstheme="minorEastAsia"/>
          <w:sz w:val="32"/>
          <w:szCs w:val="32"/>
          <w14:ligatures w14:val="none"/>
        </w:rPr>
        <w:t>（</w:t>
      </w:r>
      <w:r>
        <w:rPr>
          <w:rFonts w:hint="eastAsia" w:ascii="仿宋_GB2312" w:hAnsi="宋体" w:eastAsia="仿宋_GB2312" w:cstheme="minorEastAsia"/>
          <w:sz w:val="32"/>
          <w:szCs w:val="32"/>
          <w14:ligatures w14:val="none"/>
        </w:rPr>
        <w:t>1</w:t>
      </w:r>
      <w:r>
        <w:rPr>
          <w:rFonts w:ascii="仿宋_GB2312" w:hAnsi="宋体" w:eastAsia="仿宋_GB2312" w:cstheme="minorEastAsia"/>
          <w:sz w:val="32"/>
          <w:szCs w:val="32"/>
          <w14:ligatures w14:val="none"/>
        </w:rPr>
        <w:t>）</w:t>
      </w:r>
      <w:r>
        <w:rPr>
          <w:rFonts w:ascii="仿宋_GB2312" w:hAnsi="等线" w:eastAsia="仿宋_GB2312" w:cs="仿宋_GB2312"/>
          <w:color w:val="000000"/>
          <w:kern w:val="0"/>
          <w:sz w:val="32"/>
          <w:szCs w:val="32"/>
          <w:lang w:bidi="ar"/>
        </w:rPr>
        <w:t>因违法行为被判处刑罚，一年内又实施同类违法行为的</w:t>
      </w:r>
      <w:r>
        <w:rPr>
          <w:rFonts w:ascii="仿宋_GB2312" w:hAnsi="宋体" w:eastAsia="仿宋_GB2312" w:cstheme="minorEastAsia"/>
          <w:sz w:val="32"/>
          <w:szCs w:val="32"/>
          <w14:ligatures w14:val="none"/>
        </w:rPr>
        <w:t>；</w:t>
      </w:r>
    </w:p>
    <w:p>
      <w:pPr>
        <w:adjustRightInd w:val="0"/>
        <w:snapToGrid w:val="0"/>
        <w:spacing w:after="0" w:line="560" w:lineRule="exact"/>
        <w:ind w:firstLine="640" w:firstLineChars="200"/>
        <w:jc w:val="both"/>
        <w:rPr>
          <w:rFonts w:hint="eastAsia" w:ascii="仿宋_GB2312" w:hAnsi="宋体" w:eastAsia="仿宋_GB2312" w:cstheme="minorEastAsia"/>
          <w:sz w:val="32"/>
          <w:szCs w:val="32"/>
          <w14:ligatures w14:val="none"/>
        </w:rPr>
      </w:pPr>
      <w:r>
        <w:rPr>
          <w:rFonts w:ascii="仿宋_GB2312" w:hAnsi="宋体" w:eastAsia="仿宋_GB2312" w:cstheme="minorEastAsia"/>
          <w:sz w:val="32"/>
          <w:szCs w:val="32"/>
          <w14:ligatures w14:val="none"/>
        </w:rPr>
        <w:t>（</w:t>
      </w:r>
      <w:r>
        <w:rPr>
          <w:rFonts w:hint="eastAsia" w:ascii="仿宋_GB2312" w:hAnsi="宋体" w:eastAsia="仿宋_GB2312" w:cstheme="minorEastAsia"/>
          <w:sz w:val="32"/>
          <w:szCs w:val="32"/>
          <w14:ligatures w14:val="none"/>
        </w:rPr>
        <w:t>2</w:t>
      </w:r>
      <w:r>
        <w:rPr>
          <w:rFonts w:ascii="仿宋_GB2312" w:hAnsi="宋体" w:eastAsia="仿宋_GB2312" w:cstheme="minorEastAsia"/>
          <w:sz w:val="32"/>
          <w:szCs w:val="32"/>
          <w14:ligatures w14:val="none"/>
        </w:rPr>
        <w:t>）拒绝、阻碍或者以暴力方式威胁行政执法人员执行职务的；</w:t>
      </w:r>
    </w:p>
    <w:p>
      <w:pPr>
        <w:adjustRightInd w:val="0"/>
        <w:snapToGrid w:val="0"/>
        <w:spacing w:after="0" w:line="560" w:lineRule="exact"/>
        <w:ind w:firstLine="640" w:firstLineChars="200"/>
        <w:jc w:val="both"/>
        <w:rPr>
          <w:rFonts w:hint="eastAsia" w:ascii="仿宋_GB2312" w:hAnsi="宋体" w:eastAsia="仿宋_GB2312" w:cstheme="minorEastAsia"/>
          <w:sz w:val="32"/>
          <w:szCs w:val="32"/>
          <w14:ligatures w14:val="none"/>
        </w:rPr>
      </w:pPr>
      <w:r>
        <w:rPr>
          <w:rFonts w:ascii="仿宋_GB2312" w:hAnsi="宋体" w:eastAsia="仿宋_GB2312" w:cstheme="minorEastAsia"/>
          <w:sz w:val="32"/>
          <w:szCs w:val="32"/>
          <w14:ligatures w14:val="none"/>
        </w:rPr>
        <w:t>（</w:t>
      </w:r>
      <w:r>
        <w:rPr>
          <w:rFonts w:hint="eastAsia" w:ascii="仿宋_GB2312" w:hAnsi="宋体" w:eastAsia="仿宋_GB2312" w:cstheme="minorEastAsia"/>
          <w:sz w:val="32"/>
          <w:szCs w:val="32"/>
          <w14:ligatures w14:val="none"/>
        </w:rPr>
        <w:t>3</w:t>
      </w:r>
      <w:r>
        <w:rPr>
          <w:rFonts w:ascii="仿宋_GB2312" w:hAnsi="宋体" w:eastAsia="仿宋_GB2312" w:cstheme="minorEastAsia"/>
          <w:sz w:val="32"/>
          <w:szCs w:val="32"/>
          <w14:ligatures w14:val="none"/>
        </w:rPr>
        <w:t>）伪造、隐匿、毁灭证据的；</w:t>
      </w:r>
    </w:p>
    <w:p>
      <w:pPr>
        <w:adjustRightInd w:val="0"/>
        <w:snapToGrid w:val="0"/>
        <w:spacing w:after="0" w:line="560" w:lineRule="exact"/>
        <w:ind w:firstLine="640" w:firstLineChars="200"/>
        <w:jc w:val="both"/>
        <w:rPr>
          <w:rFonts w:hint="eastAsia" w:ascii="仿宋_GB2312" w:hAnsi="宋体" w:eastAsia="仿宋_GB2312" w:cstheme="minorEastAsia"/>
          <w:sz w:val="32"/>
          <w:szCs w:val="32"/>
          <w14:ligatures w14:val="none"/>
        </w:rPr>
      </w:pPr>
      <w:r>
        <w:rPr>
          <w:rFonts w:ascii="仿宋_GB2312" w:hAnsi="宋体" w:eastAsia="仿宋_GB2312" w:cstheme="minorEastAsia"/>
          <w:sz w:val="32"/>
          <w:szCs w:val="32"/>
          <w14:ligatures w14:val="none"/>
        </w:rPr>
        <w:t>（</w:t>
      </w:r>
      <w:r>
        <w:rPr>
          <w:rFonts w:hint="eastAsia" w:ascii="仿宋_GB2312" w:hAnsi="宋体" w:eastAsia="仿宋_GB2312" w:cstheme="minorEastAsia"/>
          <w:sz w:val="32"/>
          <w:szCs w:val="32"/>
          <w14:ligatures w14:val="none"/>
        </w:rPr>
        <w:t>4</w:t>
      </w:r>
      <w:r>
        <w:rPr>
          <w:rFonts w:ascii="仿宋_GB2312" w:hAnsi="宋体" w:eastAsia="仿宋_GB2312" w:cstheme="minorEastAsia"/>
          <w:sz w:val="32"/>
          <w:szCs w:val="32"/>
          <w14:ligatures w14:val="none"/>
        </w:rPr>
        <w:t>）对举报人、证人和行政执法人员打击报复的；</w:t>
      </w:r>
    </w:p>
    <w:p>
      <w:pPr>
        <w:adjustRightInd w:val="0"/>
        <w:snapToGrid w:val="0"/>
        <w:spacing w:after="0" w:line="560" w:lineRule="exact"/>
        <w:ind w:firstLine="640" w:firstLineChars="200"/>
        <w:jc w:val="both"/>
        <w:rPr>
          <w:rFonts w:hint="eastAsia" w:ascii="仿宋_GB2312" w:hAnsi="宋体" w:eastAsia="仿宋_GB2312" w:cstheme="minorEastAsia"/>
          <w:sz w:val="32"/>
          <w:szCs w:val="32"/>
          <w14:ligatures w14:val="none"/>
        </w:rPr>
      </w:pPr>
      <w:r>
        <w:rPr>
          <w:rFonts w:ascii="仿宋_GB2312" w:hAnsi="宋体" w:eastAsia="仿宋_GB2312" w:cstheme="minorEastAsia"/>
          <w:sz w:val="32"/>
          <w:szCs w:val="32"/>
          <w14:ligatures w14:val="none"/>
        </w:rPr>
        <w:t>（</w:t>
      </w:r>
      <w:r>
        <w:rPr>
          <w:rFonts w:hint="eastAsia" w:ascii="仿宋_GB2312" w:hAnsi="宋体" w:eastAsia="仿宋_GB2312" w:cstheme="minorEastAsia"/>
          <w:sz w:val="32"/>
          <w:szCs w:val="32"/>
          <w14:ligatures w14:val="none"/>
        </w:rPr>
        <w:t>5</w:t>
      </w:r>
      <w:r>
        <w:rPr>
          <w:rFonts w:ascii="仿宋_GB2312" w:hAnsi="宋体" w:eastAsia="仿宋_GB2312" w:cstheme="minorEastAsia"/>
          <w:sz w:val="32"/>
          <w:szCs w:val="32"/>
          <w14:ligatures w14:val="none"/>
        </w:rPr>
        <w:t>）法律、法规、规章规定其他应当从重处罚的。</w:t>
      </w:r>
    </w:p>
    <w:p>
      <w:pPr>
        <w:adjustRightInd w:val="0"/>
        <w:snapToGrid w:val="0"/>
        <w:spacing w:after="0" w:line="560" w:lineRule="exact"/>
        <w:ind w:firstLine="640" w:firstLineChars="200"/>
        <w:jc w:val="both"/>
        <w:rPr>
          <w:rFonts w:hint="eastAsia" w:ascii="仿宋_GB2312" w:hAnsi="宋体" w:eastAsia="仿宋_GB2312" w:cstheme="minorEastAsia"/>
          <w:sz w:val="32"/>
          <w:szCs w:val="32"/>
          <w14:ligatures w14:val="none"/>
        </w:rPr>
      </w:pPr>
      <w:r>
        <w:rPr>
          <w:rFonts w:ascii="仿宋_GB2312" w:hAnsi="宋体" w:eastAsia="仿宋_GB2312" w:cstheme="minorEastAsia"/>
          <w:sz w:val="32"/>
          <w:szCs w:val="32"/>
          <w14:ligatures w14:val="none"/>
        </w:rPr>
        <w:t>发生事故灾难等突发事件，为了控制、减轻和消除突发事件引起的社会危害，对违反突发事件应对措施的行为，应当依法快速、从重处罚。当事人存在从重处罚情节的，应当在依法可以选择的处罚种类和处罚幅度内，适用较重、较多的处罚种类或者较高的处罚幅度。</w:t>
      </w:r>
    </w:p>
    <w:p>
      <w:pPr>
        <w:adjustRightInd w:val="0"/>
        <w:snapToGrid w:val="0"/>
        <w:spacing w:after="0" w:line="560" w:lineRule="exact"/>
        <w:ind w:firstLine="640" w:firstLineChars="200"/>
        <w:jc w:val="both"/>
        <w:rPr>
          <w:rFonts w:hint="eastAsia" w:ascii="仿宋_GB2312" w:hAnsi="宋体" w:eastAsia="仿宋_GB2312" w:cstheme="minorEastAsia"/>
          <w:sz w:val="32"/>
          <w:szCs w:val="32"/>
          <w14:ligatures w14:val="none"/>
        </w:rPr>
      </w:pPr>
      <w:r>
        <w:rPr>
          <w:rFonts w:hint="eastAsia" w:ascii="仿宋_GB2312" w:hAnsi="宋体" w:eastAsia="仿宋_GB2312" w:cstheme="minorEastAsia"/>
          <w:sz w:val="32"/>
          <w:szCs w:val="32"/>
          <w14:ligatures w14:val="none"/>
        </w:rPr>
        <w:t>4.</w:t>
      </w:r>
      <w:r>
        <w:rPr>
          <w:rFonts w:ascii="仿宋_GB2312" w:hAnsi="宋体" w:eastAsia="仿宋_GB2312" w:cstheme="minorEastAsia"/>
          <w:sz w:val="32"/>
          <w:szCs w:val="32"/>
          <w14:ligatures w14:val="none"/>
        </w:rPr>
        <w:t>对同一类违法主体实施的性质相同、情节相同或者相近、危害后果基本相当的违法行为，在行使行政处罚裁量权时，适用的法律依据、处罚种类应当基本一致，处罚幅度应当基本相当，处理结果应当基本一致。</w:t>
      </w:r>
    </w:p>
    <w:p>
      <w:pPr>
        <w:adjustRightInd w:val="0"/>
        <w:snapToGrid w:val="0"/>
        <w:spacing w:after="0" w:line="560" w:lineRule="exact"/>
        <w:ind w:firstLine="640" w:firstLineChars="200"/>
        <w:jc w:val="both"/>
        <w:rPr>
          <w:rFonts w:hint="eastAsia" w:ascii="仿宋_GB2312" w:hAnsi="宋体" w:eastAsia="仿宋_GB2312" w:cstheme="minorEastAsia"/>
          <w:sz w:val="32"/>
          <w:szCs w:val="32"/>
          <w14:ligatures w14:val="none"/>
        </w:rPr>
      </w:pPr>
      <w:r>
        <w:rPr>
          <w:rFonts w:hint="eastAsia" w:ascii="仿宋_GB2312" w:hAnsi="宋体" w:eastAsia="仿宋_GB2312" w:cstheme="minorEastAsia"/>
          <w:sz w:val="32"/>
          <w:szCs w:val="32"/>
          <w14:ligatures w14:val="none"/>
        </w:rPr>
        <w:t>5.</w:t>
      </w:r>
      <w:r>
        <w:rPr>
          <w:rFonts w:ascii="仿宋_GB2312" w:hAnsi="宋体" w:eastAsia="仿宋_GB2312" w:cstheme="minorEastAsia"/>
          <w:sz w:val="32"/>
          <w:szCs w:val="32"/>
          <w14:ligatures w14:val="none"/>
        </w:rPr>
        <w:t>有两个以上应当给予行政处罚违法行为的，应当分别裁量，合并处罚。对同一个违法行为，不得给予两次以上罚款的行政处罚。</w:t>
      </w:r>
    </w:p>
    <w:p>
      <w:pPr>
        <w:adjustRightInd w:val="0"/>
        <w:snapToGrid w:val="0"/>
        <w:spacing w:after="0" w:line="560" w:lineRule="exact"/>
        <w:ind w:firstLine="640" w:firstLineChars="200"/>
        <w:jc w:val="both"/>
        <w:rPr>
          <w:rFonts w:hint="eastAsia" w:ascii="仿宋_GB2312" w:hAnsi="宋体" w:eastAsia="仿宋_GB2312" w:cstheme="minorEastAsia"/>
          <w:sz w:val="32"/>
          <w:szCs w:val="32"/>
          <w14:ligatures w14:val="none"/>
        </w:rPr>
      </w:pPr>
      <w:r>
        <w:rPr>
          <w:rFonts w:hint="eastAsia" w:ascii="仿宋_GB2312" w:hAnsi="宋体" w:eastAsia="仿宋_GB2312" w:cstheme="minorEastAsia"/>
          <w:sz w:val="32"/>
          <w:szCs w:val="32"/>
          <w14:ligatures w14:val="none"/>
        </w:rPr>
        <w:t>6.</w:t>
      </w:r>
      <w:r>
        <w:rPr>
          <w:rFonts w:ascii="仿宋_GB2312" w:hAnsi="等线" w:eastAsia="仿宋_GB2312" w:cs="仿宋_GB2312"/>
          <w:color w:val="000000"/>
          <w:kern w:val="0"/>
          <w:sz w:val="32"/>
          <w:szCs w:val="32"/>
          <w:lang w:bidi="ar"/>
        </w:rPr>
        <w:t>不同法律、行政法规、部门规章对同一违法行为规定不同处罚幅度的，按照下列规则确定适用依据：</w:t>
      </w:r>
    </w:p>
    <w:p>
      <w:pPr>
        <w:adjustRightInd w:val="0"/>
        <w:snapToGrid w:val="0"/>
        <w:spacing w:after="0" w:line="560" w:lineRule="exact"/>
        <w:ind w:firstLine="640" w:firstLineChars="200"/>
        <w:jc w:val="both"/>
        <w:rPr>
          <w:rFonts w:hint="eastAsia" w:ascii="仿宋_GB2312" w:hAnsi="宋体" w:eastAsia="仿宋_GB2312" w:cstheme="minorEastAsia"/>
          <w:sz w:val="32"/>
          <w:szCs w:val="32"/>
          <w14:ligatures w14:val="none"/>
        </w:rPr>
      </w:pPr>
      <w:r>
        <w:rPr>
          <w:rFonts w:ascii="仿宋_GB2312" w:hAnsi="等线" w:eastAsia="仿宋_GB2312" w:cs="仿宋_GB2312"/>
          <w:color w:val="000000"/>
          <w:kern w:val="0"/>
          <w:sz w:val="32"/>
          <w:szCs w:val="32"/>
          <w:lang w:bidi="ar"/>
        </w:rPr>
        <w:t>（1）上位法有规定的，适用上位法；上位法无规定的，适用下位法；</w:t>
      </w:r>
    </w:p>
    <w:p>
      <w:pPr>
        <w:adjustRightInd w:val="0"/>
        <w:snapToGrid w:val="0"/>
        <w:spacing w:after="0" w:line="560" w:lineRule="exact"/>
        <w:ind w:firstLine="640" w:firstLineChars="200"/>
        <w:jc w:val="both"/>
        <w:rPr>
          <w:rFonts w:hint="eastAsia" w:ascii="仿宋_GB2312" w:hAnsi="宋体" w:eastAsia="仿宋_GB2312" w:cstheme="minorEastAsia"/>
          <w:sz w:val="32"/>
          <w:szCs w:val="32"/>
          <w14:ligatures w14:val="none"/>
        </w:rPr>
      </w:pPr>
      <w:r>
        <w:rPr>
          <w:rFonts w:ascii="仿宋_GB2312" w:hAnsi="等线" w:eastAsia="仿宋_GB2312" w:cs="仿宋_GB2312"/>
          <w:color w:val="000000"/>
          <w:kern w:val="0"/>
          <w:sz w:val="32"/>
          <w:szCs w:val="32"/>
          <w:lang w:bidi="ar"/>
        </w:rPr>
        <w:t>（2）特别规定与一般规定不一致的，适用特别规定；</w:t>
      </w:r>
    </w:p>
    <w:p>
      <w:pPr>
        <w:adjustRightInd w:val="0"/>
        <w:snapToGrid w:val="0"/>
        <w:spacing w:after="0" w:line="560" w:lineRule="exact"/>
        <w:ind w:firstLine="640" w:firstLineChars="200"/>
        <w:jc w:val="both"/>
        <w:rPr>
          <w:rFonts w:hint="eastAsia" w:ascii="仿宋_GB2312" w:hAnsi="宋体" w:eastAsia="仿宋_GB2312" w:cstheme="minorEastAsia"/>
          <w:sz w:val="32"/>
          <w:szCs w:val="32"/>
          <w14:ligatures w14:val="none"/>
        </w:rPr>
      </w:pPr>
      <w:r>
        <w:rPr>
          <w:rFonts w:ascii="仿宋_GB2312" w:hAnsi="等线" w:eastAsia="仿宋_GB2312" w:cs="仿宋_GB2312"/>
          <w:color w:val="000000"/>
          <w:kern w:val="0"/>
          <w:sz w:val="32"/>
          <w:szCs w:val="32"/>
          <w:lang w:bidi="ar"/>
        </w:rPr>
        <w:t>（3）新规定与旧规定不一致的，适用新规定。</w:t>
      </w:r>
    </w:p>
    <w:p>
      <w:pPr>
        <w:adjustRightInd w:val="0"/>
        <w:snapToGrid w:val="0"/>
        <w:spacing w:after="0" w:line="560" w:lineRule="exact"/>
        <w:ind w:firstLine="640" w:firstLineChars="200"/>
        <w:jc w:val="both"/>
        <w:rPr>
          <w:rFonts w:hint="eastAsia" w:ascii="仿宋_GB2312" w:hAnsi="宋体" w:eastAsia="仿宋_GB2312" w:cstheme="minorEastAsia"/>
          <w:sz w:val="32"/>
          <w:szCs w:val="32"/>
          <w14:ligatures w14:val="none"/>
        </w:rPr>
      </w:pPr>
      <w:r>
        <w:rPr>
          <w:rFonts w:ascii="仿宋_GB2312" w:hAnsi="等线" w:eastAsia="仿宋_GB2312" w:cs="仿宋_GB2312"/>
          <w:color w:val="000000"/>
          <w:kern w:val="0"/>
          <w:sz w:val="32"/>
          <w:szCs w:val="32"/>
          <w:lang w:bidi="ar"/>
        </w:rPr>
        <w:t>具体适用时，应在处罚决定书中载明法律依据及选择理由。</w:t>
      </w:r>
    </w:p>
    <w:p>
      <w:pPr>
        <w:adjustRightInd w:val="0"/>
        <w:snapToGrid w:val="0"/>
        <w:spacing w:after="0" w:line="560" w:lineRule="exact"/>
        <w:ind w:firstLine="640" w:firstLineChars="200"/>
        <w:jc w:val="both"/>
        <w:rPr>
          <w:rFonts w:hint="eastAsia" w:ascii="仿宋_GB2312" w:hAnsi="宋体" w:eastAsia="仿宋_GB2312" w:cstheme="minorEastAsia"/>
          <w:sz w:val="32"/>
          <w:szCs w:val="32"/>
          <w14:ligatures w14:val="none"/>
        </w:rPr>
      </w:pPr>
      <w:r>
        <w:rPr>
          <w:rFonts w:hint="eastAsia" w:ascii="仿宋_GB2312" w:hAnsi="宋体" w:eastAsia="仿宋_GB2312" w:cstheme="minorEastAsia"/>
          <w:sz w:val="32"/>
          <w:szCs w:val="32"/>
          <w14:ligatures w14:val="none"/>
        </w:rPr>
        <w:t>7.</w:t>
      </w:r>
      <w:r>
        <w:rPr>
          <w:rFonts w:ascii="仿宋_GB2312" w:hAnsi="宋体" w:eastAsia="仿宋_GB2312" w:cstheme="minorEastAsia"/>
          <w:sz w:val="32"/>
          <w:szCs w:val="32"/>
          <w14:ligatures w14:val="none"/>
        </w:rPr>
        <w:t>当《基准》规定的不同阶次所对应的情节并存时，应当在从重情节所对应的处罚阶次内处罚。当从重处罚因素与从轻处罚因素并存时，原则上应当首先考虑从重因素，然后在从重基础上酌情从轻。</w:t>
      </w:r>
    </w:p>
    <w:p>
      <w:pPr>
        <w:adjustRightInd w:val="0"/>
        <w:snapToGrid w:val="0"/>
        <w:spacing w:after="0" w:line="560" w:lineRule="exact"/>
        <w:ind w:firstLine="640" w:firstLineChars="200"/>
        <w:jc w:val="both"/>
        <w:rPr>
          <w:rFonts w:hint="eastAsia" w:ascii="仿宋_GB2312" w:hAnsi="宋体" w:eastAsia="仿宋_GB2312" w:cstheme="minorEastAsia"/>
          <w:sz w:val="32"/>
          <w:szCs w:val="32"/>
          <w14:ligatures w14:val="none"/>
        </w:rPr>
      </w:pPr>
      <w:r>
        <w:rPr>
          <w:rFonts w:hint="eastAsia" w:ascii="仿宋_GB2312" w:hAnsi="宋体" w:eastAsia="仿宋_GB2312" w:cstheme="minorEastAsia"/>
          <w:sz w:val="32"/>
          <w:szCs w:val="32"/>
          <w14:ligatures w14:val="none"/>
        </w:rPr>
        <w:t>8.</w:t>
      </w:r>
      <w:r>
        <w:rPr>
          <w:rFonts w:ascii="仿宋_GB2312" w:hAnsi="宋体" w:eastAsia="仿宋_GB2312" w:cstheme="minorEastAsia"/>
          <w:sz w:val="32"/>
          <w:szCs w:val="32"/>
          <w14:ligatures w14:val="none"/>
        </w:rPr>
        <w:t>除法律、行政法规另有规定的外，《基准》</w:t>
      </w:r>
      <w:r>
        <w:rPr>
          <w:rFonts w:hint="eastAsia" w:ascii="仿宋_GB2312" w:hAnsi="宋体" w:eastAsia="仿宋_GB2312" w:cstheme="minorEastAsia"/>
          <w:sz w:val="32"/>
          <w:szCs w:val="32"/>
          <w14:ligatures w14:val="none"/>
        </w:rPr>
        <w:t>中</w:t>
      </w:r>
      <w:r>
        <w:rPr>
          <w:rFonts w:ascii="仿宋_GB2312" w:hAnsi="宋体" w:eastAsia="仿宋_GB2312" w:cstheme="minorEastAsia"/>
          <w:sz w:val="32"/>
          <w:szCs w:val="32"/>
          <w14:ligatures w14:val="none"/>
        </w:rPr>
        <w:t>“以上”“以下”“以内”均包含本数</w:t>
      </w:r>
      <w:r>
        <w:rPr>
          <w:rFonts w:hint="eastAsia" w:ascii="仿宋_GB2312" w:hAnsi="宋体" w:eastAsia="仿宋_GB2312" w:cstheme="minorEastAsia"/>
          <w:sz w:val="32"/>
          <w:szCs w:val="32"/>
          <w14:ligatures w14:val="none"/>
        </w:rPr>
        <w:t>，“不满”不包含本数。</w:t>
      </w:r>
    </w:p>
    <w:p>
      <w:pPr>
        <w:adjustRightInd w:val="0"/>
        <w:snapToGrid w:val="0"/>
        <w:spacing w:after="0" w:line="560" w:lineRule="exact"/>
        <w:ind w:firstLine="640" w:firstLineChars="200"/>
        <w:jc w:val="both"/>
        <w:rPr>
          <w:rFonts w:hint="eastAsia" w:ascii="仿宋_GB2312" w:hAnsi="宋体" w:eastAsia="仿宋_GB2312" w:cstheme="minorEastAsia"/>
          <w:sz w:val="32"/>
          <w:szCs w:val="32"/>
          <w14:ligatures w14:val="none"/>
        </w:rPr>
      </w:pPr>
      <w:r>
        <w:rPr>
          <w:rFonts w:hint="eastAsia" w:ascii="仿宋_GB2312" w:hAnsi="宋体" w:eastAsia="仿宋_GB2312" w:cstheme="minorEastAsia"/>
          <w:sz w:val="32"/>
          <w:szCs w:val="32"/>
          <w14:ligatures w14:val="none"/>
        </w:rPr>
        <w:t>9.《基准》中“拒不执行”的认定情形：</w:t>
      </w:r>
    </w:p>
    <w:p>
      <w:pPr>
        <w:adjustRightInd w:val="0"/>
        <w:snapToGrid w:val="0"/>
        <w:spacing w:after="0" w:line="560" w:lineRule="exact"/>
        <w:ind w:firstLine="640" w:firstLineChars="200"/>
        <w:jc w:val="both"/>
        <w:rPr>
          <w:rFonts w:hint="eastAsia" w:ascii="仿宋_GB2312" w:hAnsi="宋体" w:eastAsia="仿宋_GB2312" w:cstheme="minorEastAsia"/>
          <w:sz w:val="32"/>
          <w:szCs w:val="32"/>
          <w14:ligatures w14:val="none"/>
        </w:rPr>
      </w:pPr>
      <w:r>
        <w:rPr>
          <w:rFonts w:ascii="仿宋_GB2312" w:hAnsi="宋体" w:eastAsia="仿宋_GB2312" w:cstheme="minorEastAsia"/>
          <w:sz w:val="32"/>
          <w:szCs w:val="32"/>
          <w14:ligatures w14:val="none"/>
        </w:rPr>
        <w:t>（</w:t>
      </w:r>
      <w:r>
        <w:rPr>
          <w:rFonts w:hint="eastAsia" w:ascii="仿宋_GB2312" w:hAnsi="宋体" w:eastAsia="仿宋_GB2312" w:cstheme="minorEastAsia"/>
          <w:sz w:val="32"/>
          <w:szCs w:val="32"/>
          <w14:ligatures w14:val="none"/>
        </w:rPr>
        <w:t>1</w:t>
      </w:r>
      <w:r>
        <w:rPr>
          <w:rFonts w:ascii="仿宋_GB2312" w:hAnsi="宋体" w:eastAsia="仿宋_GB2312" w:cstheme="minorEastAsia"/>
          <w:sz w:val="32"/>
          <w:szCs w:val="32"/>
          <w14:ligatures w14:val="none"/>
        </w:rPr>
        <w:t>）收到</w:t>
      </w:r>
      <w:r>
        <w:rPr>
          <w:rFonts w:hint="eastAsia" w:ascii="仿宋_GB2312" w:hAnsi="宋体" w:eastAsia="仿宋_GB2312" w:cstheme="minorEastAsia"/>
          <w:sz w:val="32"/>
          <w:szCs w:val="32"/>
          <w14:ligatures w14:val="none"/>
        </w:rPr>
        <w:t>局方整改通知书</w:t>
      </w:r>
      <w:r>
        <w:rPr>
          <w:rFonts w:ascii="仿宋_GB2312" w:hAnsi="宋体" w:eastAsia="仿宋_GB2312" w:cstheme="minorEastAsia"/>
          <w:sz w:val="32"/>
          <w:szCs w:val="32"/>
          <w14:ligatures w14:val="none"/>
        </w:rPr>
        <w:t>后，无正当理由逾期未完成整改的；</w:t>
      </w:r>
    </w:p>
    <w:p>
      <w:pPr>
        <w:adjustRightInd w:val="0"/>
        <w:snapToGrid w:val="0"/>
        <w:spacing w:after="0" w:line="560" w:lineRule="exact"/>
        <w:ind w:firstLine="640" w:firstLineChars="200"/>
        <w:jc w:val="both"/>
        <w:rPr>
          <w:rFonts w:hint="eastAsia" w:ascii="仿宋_GB2312" w:hAnsi="宋体" w:eastAsia="仿宋_GB2312" w:cstheme="minorEastAsia"/>
          <w:sz w:val="32"/>
          <w:szCs w:val="32"/>
          <w14:ligatures w14:val="none"/>
        </w:rPr>
      </w:pPr>
      <w:r>
        <w:rPr>
          <w:rFonts w:ascii="仿宋_GB2312" w:hAnsi="宋体" w:eastAsia="仿宋_GB2312" w:cstheme="minorEastAsia"/>
          <w:sz w:val="32"/>
          <w:szCs w:val="32"/>
          <w14:ligatures w14:val="none"/>
        </w:rPr>
        <w:t>（</w:t>
      </w:r>
      <w:r>
        <w:rPr>
          <w:rFonts w:hint="eastAsia" w:ascii="仿宋_GB2312" w:hAnsi="宋体" w:eastAsia="仿宋_GB2312" w:cstheme="minorEastAsia"/>
          <w:sz w:val="32"/>
          <w:szCs w:val="32"/>
          <w14:ligatures w14:val="none"/>
        </w:rPr>
        <w:t>2</w:t>
      </w:r>
      <w:r>
        <w:rPr>
          <w:rFonts w:ascii="仿宋_GB2312" w:hAnsi="宋体" w:eastAsia="仿宋_GB2312" w:cstheme="minorEastAsia"/>
          <w:sz w:val="32"/>
          <w:szCs w:val="32"/>
          <w14:ligatures w14:val="none"/>
        </w:rPr>
        <w:t>）整改措施经复查不符合</w:t>
      </w:r>
      <w:r>
        <w:rPr>
          <w:rFonts w:hint="eastAsia" w:ascii="仿宋_GB2312" w:hAnsi="宋体" w:eastAsia="仿宋_GB2312" w:cstheme="minorEastAsia"/>
          <w:sz w:val="32"/>
          <w:szCs w:val="32"/>
          <w14:ligatures w14:val="none"/>
        </w:rPr>
        <w:t>要求</w:t>
      </w:r>
      <w:r>
        <w:rPr>
          <w:rFonts w:ascii="仿宋_GB2312" w:hAnsi="宋体" w:eastAsia="仿宋_GB2312" w:cstheme="minorEastAsia"/>
          <w:sz w:val="32"/>
          <w:szCs w:val="32"/>
          <w14:ligatures w14:val="none"/>
        </w:rPr>
        <w:t>，再次责令限期整改仍不达标的；</w:t>
      </w:r>
    </w:p>
    <w:p>
      <w:pPr>
        <w:adjustRightInd w:val="0"/>
        <w:snapToGrid w:val="0"/>
        <w:spacing w:after="0" w:line="560" w:lineRule="exact"/>
        <w:ind w:firstLine="640" w:firstLineChars="200"/>
        <w:jc w:val="both"/>
        <w:rPr>
          <w:rFonts w:hint="eastAsia" w:ascii="宋体" w:hAnsi="宋体" w:eastAsia="宋体" w:cstheme="minorEastAsia"/>
          <w:sz w:val="28"/>
          <w:szCs w:val="28"/>
          <w14:ligatures w14:val="none"/>
        </w:rPr>
      </w:pPr>
      <w:r>
        <w:rPr>
          <w:rFonts w:ascii="仿宋_GB2312" w:hAnsi="宋体" w:eastAsia="仿宋_GB2312" w:cstheme="minorEastAsia"/>
          <w:sz w:val="32"/>
          <w:szCs w:val="32"/>
          <w14:ligatures w14:val="none"/>
        </w:rPr>
        <w:t>（</w:t>
      </w:r>
      <w:r>
        <w:rPr>
          <w:rFonts w:hint="eastAsia" w:ascii="仿宋_GB2312" w:hAnsi="宋体" w:eastAsia="仿宋_GB2312" w:cstheme="minorEastAsia"/>
          <w:sz w:val="32"/>
          <w:szCs w:val="32"/>
          <w14:ligatures w14:val="none"/>
        </w:rPr>
        <w:t>3</w:t>
      </w:r>
      <w:r>
        <w:rPr>
          <w:rFonts w:ascii="仿宋_GB2312" w:hAnsi="宋体" w:eastAsia="仿宋_GB2312" w:cstheme="minorEastAsia"/>
          <w:sz w:val="32"/>
          <w:szCs w:val="32"/>
          <w14:ligatures w14:val="none"/>
        </w:rPr>
        <w:t>）以拖延、欺骗、阻挠等方式逃避、妨碍执法检查的</w:t>
      </w:r>
      <w:r>
        <w:rPr>
          <w:rFonts w:hint="eastAsia" w:ascii="仿宋_GB2312" w:hAnsi="宋体" w:eastAsia="仿宋_GB2312" w:cstheme="minorEastAsia"/>
          <w:sz w:val="32"/>
          <w:szCs w:val="32"/>
          <w14:ligatures w14:val="none"/>
        </w:rPr>
        <w:t>。</w:t>
      </w:r>
    </w:p>
    <w:sectPr>
      <w:pgSz w:w="16838" w:h="11906" w:orient="landscape"/>
      <w:pgMar w:top="1701" w:right="1701" w:bottom="1701" w:left="1701" w:header="851" w:footer="992" w:gutter="0"/>
      <w:pgNumType w:fmt="numberInDash"/>
      <w:cols w:space="425" w:num="1"/>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华文仿宋"/>
    <w:panose1 w:val="02010600030101010101"/>
    <w:charset w:val="86"/>
    <w:family w:val="auto"/>
    <w:pitch w:val="default"/>
    <w:sig w:usb0="00000000" w:usb1="00000000" w:usb2="00000016" w:usb3="00000000" w:csb0="0004000F" w:csb1="00000000"/>
  </w:font>
  <w:font w:name="等线 Light">
    <w:altName w:val="华文仿宋"/>
    <w:panose1 w:val="02010600030101010101"/>
    <w:charset w:val="86"/>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等线">
    <w:altName w:val="URW Bookman"/>
    <w:panose1 w:val="00000000000000000000"/>
    <w:charset w:val="00"/>
    <w:family w:val="auto"/>
    <w:pitch w:val="default"/>
    <w:sig w:usb0="00000000" w:usb1="00000000" w:usb2="00000000" w:usb3="00000000" w:csb0="00000000" w:csb1="00000000"/>
  </w:font>
  <w:font w:name="URW Bookman">
    <w:panose1 w:val="00000400000000000000"/>
    <w:charset w:val="00"/>
    <w:family w:val="auto"/>
    <w:pitch w:val="default"/>
    <w:sig w:usb0="00000287" w:usb1="00000800" w:usb2="00000000" w:usb3="00000000" w:csb0="6000009F"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方正仿宋_GBK">
    <w:panose1 w:val="02000000000000000000"/>
    <w:charset w:val="86"/>
    <w:family w:val="auto"/>
    <w:pitch w:val="default"/>
    <w:sig w:usb0="00000001" w:usb1="08000000" w:usb2="00000000" w:usb3="00000000" w:csb0="00040000" w:csb1="00000000"/>
  </w:font>
  <w:font w:name="等线 Light">
    <w:altName w:val="URW Bookman"/>
    <w:panose1 w:val="00000000000000000000"/>
    <w:charset w:val="00"/>
    <w:family w:val="auto"/>
    <w:pitch w:val="default"/>
    <w:sig w:usb0="00000000" w:usb1="00000000" w:usb2="00000000" w:usb3="00000000" w:csb0="00000000" w:csb1="00000000"/>
  </w:font>
  <w:font w:name="Nimbus Roman">
    <w:panose1 w:val="00000500000000000000"/>
    <w:charset w:val="00"/>
    <w:family w:val="auto"/>
    <w:pitch w:val="default"/>
    <w:sig w:usb0="00000287" w:usb1="00000800" w:usb2="00000000" w:usb3="00000000" w:csb0="6000009F" w:csb1="00000000"/>
  </w:font>
  <w:font w:name="华文宋体">
    <w:panose1 w:val="02010600040101010101"/>
    <w:charset w:val="86"/>
    <w:family w:val="auto"/>
    <w:pitch w:val="default"/>
    <w:sig w:usb0="00000287" w:usb1="080F0000" w:usb2="00000000" w:usb3="00000000" w:csb0="0004009F" w:csb1="DFD70000"/>
  </w:font>
  <w:font w:name="幼圆">
    <w:panose1 w:val="02010509060101010101"/>
    <w:charset w:val="86"/>
    <w:family w:val="auto"/>
    <w:pitch w:val="default"/>
    <w:sig w:usb0="00000001" w:usb1="080E0000" w:usb2="00000000" w:usb3="00000000" w:csb0="00040000" w:csb1="00000000"/>
  </w:font>
  <w:font w:name="Liberation Sans Narrow">
    <w:panose1 w:val="020B0606020202030204"/>
    <w:charset w:val="00"/>
    <w:family w:val="auto"/>
    <w:pitch w:val="default"/>
    <w:sig w:usb0="A00002AF" w:usb1="500078FB" w:usb2="00000000" w:usb3="00000000" w:csb0="6000009F" w:csb1="DFD70000"/>
  </w:font>
  <w:font w:name="MathJax_Size3">
    <w:panose1 w:val="00000000000000000000"/>
    <w:charset w:val="00"/>
    <w:family w:val="auto"/>
    <w:pitch w:val="default"/>
    <w:sig w:usb0="800000EF" w:usb1="1000ECED" w:usb2="00000000" w:usb3="00000000" w:csb0="2000008F" w:csb1="5E03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default" w:ascii="Nimbus Roman" w:hAnsi="Nimbus Roman" w:cs="Nimbus Roman"/>
      </w:rPr>
      <w:id w:val="-990092987"/>
      <w:docPartObj>
        <w:docPartGallery w:val="AutoText"/>
      </w:docPartObj>
    </w:sdtPr>
    <w:sdtEndPr>
      <w:rPr>
        <w:rFonts w:ascii="Times New Roman" w:hAnsi="Times New Roman" w:cs="Times New Roman"/>
        <w:sz w:val="28"/>
        <w:szCs w:val="28"/>
      </w:rPr>
    </w:sdtEndPr>
    <w:sdtContent>
      <w:p>
        <w:pPr>
          <w:pStyle w:val="11"/>
          <w:jc w:val="center"/>
          <w:rPr>
            <w:rFonts w:ascii="Times New Roman" w:hAnsi="Times New Roman" w:cs="Times New Roman"/>
            <w:sz w:val="28"/>
            <w:szCs w:val="28"/>
          </w:rPr>
        </w:pPr>
        <w:r>
          <w:rPr>
            <w:rFonts w:hint="default" w:ascii="Nimbus Roman" w:hAnsi="Nimbus Roman" w:cs="Nimbus Roman"/>
            <w:sz w:val="28"/>
            <w:szCs w:val="28"/>
          </w:rPr>
          <w:fldChar w:fldCharType="begin"/>
        </w:r>
        <w:r>
          <w:rPr>
            <w:rFonts w:hint="default" w:ascii="Nimbus Roman" w:hAnsi="Nimbus Roman" w:cs="Nimbus Roman"/>
            <w:sz w:val="28"/>
            <w:szCs w:val="28"/>
          </w:rPr>
          <w:instrText xml:space="preserve">PAGE   \* MERGEFORMAT</w:instrText>
        </w:r>
        <w:r>
          <w:rPr>
            <w:rFonts w:hint="default" w:ascii="Nimbus Roman" w:hAnsi="Nimbus Roman" w:cs="Nimbus Roman"/>
            <w:sz w:val="28"/>
            <w:szCs w:val="28"/>
          </w:rPr>
          <w:fldChar w:fldCharType="separate"/>
        </w:r>
        <w:r>
          <w:rPr>
            <w:rFonts w:hint="default" w:ascii="Nimbus Roman" w:hAnsi="Nimbus Roman" w:cs="Nimbus Roman"/>
            <w:sz w:val="28"/>
            <w:szCs w:val="28"/>
            <w:lang w:val="zh-CN"/>
          </w:rPr>
          <w:t>2</w:t>
        </w:r>
        <w:r>
          <w:rPr>
            <w:rFonts w:hint="default" w:ascii="Nimbus Roman" w:hAnsi="Nimbus Roman" w:cs="Nimbus Roman"/>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4FF363"/>
    <w:multiLevelType w:val="singleLevel"/>
    <w:tmpl w:val="B04FF363"/>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TrueTypeFonts/>
  <w:bordersDoNotSurroundHeader w:val="true"/>
  <w:bordersDoNotSurroundFooter w:val="true"/>
  <w:documentProtection w:enforcement="0"/>
  <w:defaultTabStop w:val="420"/>
  <w:drawingGridHorizontalSpacing w:val="110"/>
  <w:drawingGridVerticalSpacing w:val="156"/>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1E3"/>
    <w:rsid w:val="00013F15"/>
    <w:rsid w:val="00026A6B"/>
    <w:rsid w:val="00033A9B"/>
    <w:rsid w:val="00034C4E"/>
    <w:rsid w:val="000366DD"/>
    <w:rsid w:val="0004111E"/>
    <w:rsid w:val="00070579"/>
    <w:rsid w:val="00074A81"/>
    <w:rsid w:val="00075D42"/>
    <w:rsid w:val="00087766"/>
    <w:rsid w:val="00093D51"/>
    <w:rsid w:val="000A366B"/>
    <w:rsid w:val="000B799F"/>
    <w:rsid w:val="000C61F5"/>
    <w:rsid w:val="000D1188"/>
    <w:rsid w:val="000D5B19"/>
    <w:rsid w:val="000E617C"/>
    <w:rsid w:val="001139B6"/>
    <w:rsid w:val="00117B08"/>
    <w:rsid w:val="00133556"/>
    <w:rsid w:val="00137F7F"/>
    <w:rsid w:val="0014772E"/>
    <w:rsid w:val="001478A8"/>
    <w:rsid w:val="001637D5"/>
    <w:rsid w:val="001778EF"/>
    <w:rsid w:val="00177BF4"/>
    <w:rsid w:val="00190305"/>
    <w:rsid w:val="001A0661"/>
    <w:rsid w:val="002047FB"/>
    <w:rsid w:val="00207B8F"/>
    <w:rsid w:val="00224C32"/>
    <w:rsid w:val="002467E7"/>
    <w:rsid w:val="0026157C"/>
    <w:rsid w:val="00266979"/>
    <w:rsid w:val="0028559F"/>
    <w:rsid w:val="00290B69"/>
    <w:rsid w:val="00297BA6"/>
    <w:rsid w:val="002C0840"/>
    <w:rsid w:val="002E24FF"/>
    <w:rsid w:val="002F40C1"/>
    <w:rsid w:val="002F485A"/>
    <w:rsid w:val="00302A52"/>
    <w:rsid w:val="00304691"/>
    <w:rsid w:val="00324711"/>
    <w:rsid w:val="00347F56"/>
    <w:rsid w:val="00357611"/>
    <w:rsid w:val="00366C8B"/>
    <w:rsid w:val="00371ACF"/>
    <w:rsid w:val="00376ED2"/>
    <w:rsid w:val="003936EC"/>
    <w:rsid w:val="003C3584"/>
    <w:rsid w:val="003D3DEE"/>
    <w:rsid w:val="003D5674"/>
    <w:rsid w:val="003F257B"/>
    <w:rsid w:val="00420527"/>
    <w:rsid w:val="00424B55"/>
    <w:rsid w:val="004266AA"/>
    <w:rsid w:val="00443602"/>
    <w:rsid w:val="00447897"/>
    <w:rsid w:val="00454B93"/>
    <w:rsid w:val="00463126"/>
    <w:rsid w:val="00470AB0"/>
    <w:rsid w:val="00471B08"/>
    <w:rsid w:val="00482AA4"/>
    <w:rsid w:val="00487F5B"/>
    <w:rsid w:val="004A176E"/>
    <w:rsid w:val="004A36DC"/>
    <w:rsid w:val="004C0BC0"/>
    <w:rsid w:val="004D2B86"/>
    <w:rsid w:val="004D2EF7"/>
    <w:rsid w:val="004D4F13"/>
    <w:rsid w:val="004E6A03"/>
    <w:rsid w:val="00505D6A"/>
    <w:rsid w:val="0051326A"/>
    <w:rsid w:val="00513F3C"/>
    <w:rsid w:val="00514A29"/>
    <w:rsid w:val="00516F74"/>
    <w:rsid w:val="00534907"/>
    <w:rsid w:val="005352D6"/>
    <w:rsid w:val="00536619"/>
    <w:rsid w:val="005506DF"/>
    <w:rsid w:val="00560DD4"/>
    <w:rsid w:val="00563927"/>
    <w:rsid w:val="00577553"/>
    <w:rsid w:val="005800A9"/>
    <w:rsid w:val="00592C13"/>
    <w:rsid w:val="005E3555"/>
    <w:rsid w:val="005F2ACC"/>
    <w:rsid w:val="005F732B"/>
    <w:rsid w:val="006067EB"/>
    <w:rsid w:val="00611D61"/>
    <w:rsid w:val="00614E2B"/>
    <w:rsid w:val="00620B28"/>
    <w:rsid w:val="006211E4"/>
    <w:rsid w:val="00630073"/>
    <w:rsid w:val="00632B51"/>
    <w:rsid w:val="006454A5"/>
    <w:rsid w:val="00653B67"/>
    <w:rsid w:val="00661A1D"/>
    <w:rsid w:val="00672393"/>
    <w:rsid w:val="0067305E"/>
    <w:rsid w:val="006B2A16"/>
    <w:rsid w:val="006B7C7F"/>
    <w:rsid w:val="006C1CAB"/>
    <w:rsid w:val="006C3B31"/>
    <w:rsid w:val="006D3EFB"/>
    <w:rsid w:val="006D6681"/>
    <w:rsid w:val="006D70AA"/>
    <w:rsid w:val="006F3F8B"/>
    <w:rsid w:val="00705F39"/>
    <w:rsid w:val="00707B02"/>
    <w:rsid w:val="007145B9"/>
    <w:rsid w:val="00714C99"/>
    <w:rsid w:val="00721546"/>
    <w:rsid w:val="00726297"/>
    <w:rsid w:val="00736B88"/>
    <w:rsid w:val="007719E2"/>
    <w:rsid w:val="007812A2"/>
    <w:rsid w:val="00783044"/>
    <w:rsid w:val="0079015A"/>
    <w:rsid w:val="00793F16"/>
    <w:rsid w:val="007A2F41"/>
    <w:rsid w:val="007C155B"/>
    <w:rsid w:val="007F108F"/>
    <w:rsid w:val="007F550C"/>
    <w:rsid w:val="007F61E3"/>
    <w:rsid w:val="007F680D"/>
    <w:rsid w:val="007F6FBB"/>
    <w:rsid w:val="008138B4"/>
    <w:rsid w:val="0082528E"/>
    <w:rsid w:val="00831E99"/>
    <w:rsid w:val="00834A39"/>
    <w:rsid w:val="008361FA"/>
    <w:rsid w:val="00837797"/>
    <w:rsid w:val="0084710A"/>
    <w:rsid w:val="008647F5"/>
    <w:rsid w:val="00872249"/>
    <w:rsid w:val="0088219B"/>
    <w:rsid w:val="008865B8"/>
    <w:rsid w:val="008B5479"/>
    <w:rsid w:val="008D63A4"/>
    <w:rsid w:val="008E6BAE"/>
    <w:rsid w:val="00914FED"/>
    <w:rsid w:val="00915547"/>
    <w:rsid w:val="00917396"/>
    <w:rsid w:val="00925166"/>
    <w:rsid w:val="00936E5D"/>
    <w:rsid w:val="00954B29"/>
    <w:rsid w:val="00972055"/>
    <w:rsid w:val="009801C4"/>
    <w:rsid w:val="00981C95"/>
    <w:rsid w:val="0098348E"/>
    <w:rsid w:val="0098722B"/>
    <w:rsid w:val="00995FEA"/>
    <w:rsid w:val="00996A51"/>
    <w:rsid w:val="009B386A"/>
    <w:rsid w:val="009C6F60"/>
    <w:rsid w:val="009E6DD6"/>
    <w:rsid w:val="00A05AC5"/>
    <w:rsid w:val="00A10B56"/>
    <w:rsid w:val="00A262ED"/>
    <w:rsid w:val="00A32ABB"/>
    <w:rsid w:val="00A538CC"/>
    <w:rsid w:val="00A62374"/>
    <w:rsid w:val="00A62933"/>
    <w:rsid w:val="00A655C3"/>
    <w:rsid w:val="00A77132"/>
    <w:rsid w:val="00A77CEC"/>
    <w:rsid w:val="00AD11BC"/>
    <w:rsid w:val="00AD28EB"/>
    <w:rsid w:val="00AD3781"/>
    <w:rsid w:val="00AE22A4"/>
    <w:rsid w:val="00AE4B97"/>
    <w:rsid w:val="00AE7534"/>
    <w:rsid w:val="00AF4774"/>
    <w:rsid w:val="00B04C6B"/>
    <w:rsid w:val="00B14C0A"/>
    <w:rsid w:val="00B22384"/>
    <w:rsid w:val="00B35B5E"/>
    <w:rsid w:val="00B60103"/>
    <w:rsid w:val="00B62641"/>
    <w:rsid w:val="00B6638D"/>
    <w:rsid w:val="00B83EB0"/>
    <w:rsid w:val="00BA69A1"/>
    <w:rsid w:val="00BB59B4"/>
    <w:rsid w:val="00BC2531"/>
    <w:rsid w:val="00BD63A0"/>
    <w:rsid w:val="00BD6F8C"/>
    <w:rsid w:val="00BF03EB"/>
    <w:rsid w:val="00BF672B"/>
    <w:rsid w:val="00C00C43"/>
    <w:rsid w:val="00C02B58"/>
    <w:rsid w:val="00C06285"/>
    <w:rsid w:val="00C153B7"/>
    <w:rsid w:val="00C44A15"/>
    <w:rsid w:val="00C46AC6"/>
    <w:rsid w:val="00C6056E"/>
    <w:rsid w:val="00CA186E"/>
    <w:rsid w:val="00CA1A1F"/>
    <w:rsid w:val="00CB16DA"/>
    <w:rsid w:val="00CB335C"/>
    <w:rsid w:val="00CE692C"/>
    <w:rsid w:val="00CF0EC2"/>
    <w:rsid w:val="00D07473"/>
    <w:rsid w:val="00D11A36"/>
    <w:rsid w:val="00D13039"/>
    <w:rsid w:val="00D14863"/>
    <w:rsid w:val="00D20CDE"/>
    <w:rsid w:val="00D43B00"/>
    <w:rsid w:val="00D47A87"/>
    <w:rsid w:val="00D621AF"/>
    <w:rsid w:val="00D63D18"/>
    <w:rsid w:val="00D70727"/>
    <w:rsid w:val="00D74E80"/>
    <w:rsid w:val="00D94519"/>
    <w:rsid w:val="00DA25AC"/>
    <w:rsid w:val="00DA77E7"/>
    <w:rsid w:val="00DC538E"/>
    <w:rsid w:val="00DD35BB"/>
    <w:rsid w:val="00DD4818"/>
    <w:rsid w:val="00DE3220"/>
    <w:rsid w:val="00DE47FC"/>
    <w:rsid w:val="00DF09F9"/>
    <w:rsid w:val="00E000C1"/>
    <w:rsid w:val="00E02AA2"/>
    <w:rsid w:val="00E04A73"/>
    <w:rsid w:val="00E27A28"/>
    <w:rsid w:val="00E33CBD"/>
    <w:rsid w:val="00E33E39"/>
    <w:rsid w:val="00E559DD"/>
    <w:rsid w:val="00E67BBA"/>
    <w:rsid w:val="00E73FE4"/>
    <w:rsid w:val="00E81819"/>
    <w:rsid w:val="00E931A3"/>
    <w:rsid w:val="00E9553B"/>
    <w:rsid w:val="00EA5367"/>
    <w:rsid w:val="00ED458E"/>
    <w:rsid w:val="00EE1343"/>
    <w:rsid w:val="00EF2270"/>
    <w:rsid w:val="00F01FCD"/>
    <w:rsid w:val="00F05BA4"/>
    <w:rsid w:val="00F114CA"/>
    <w:rsid w:val="00F140D2"/>
    <w:rsid w:val="00F15F94"/>
    <w:rsid w:val="00F263AB"/>
    <w:rsid w:val="00F26D3E"/>
    <w:rsid w:val="00F30423"/>
    <w:rsid w:val="00F37550"/>
    <w:rsid w:val="00F4711F"/>
    <w:rsid w:val="00F54AFD"/>
    <w:rsid w:val="00F71D0A"/>
    <w:rsid w:val="00FA747B"/>
    <w:rsid w:val="00FE2B35"/>
    <w:rsid w:val="00FE7E15"/>
    <w:rsid w:val="00FF46A1"/>
    <w:rsid w:val="086A71DD"/>
    <w:rsid w:val="09D30C37"/>
    <w:rsid w:val="0AA048D9"/>
    <w:rsid w:val="0B8F2F56"/>
    <w:rsid w:val="115F642C"/>
    <w:rsid w:val="14187334"/>
    <w:rsid w:val="15C911B3"/>
    <w:rsid w:val="1B9D407D"/>
    <w:rsid w:val="1E072090"/>
    <w:rsid w:val="21034E80"/>
    <w:rsid w:val="2FEE643F"/>
    <w:rsid w:val="3F80043B"/>
    <w:rsid w:val="50701F9B"/>
    <w:rsid w:val="50776590"/>
    <w:rsid w:val="70771A58"/>
    <w:rsid w:val="764B3AE5"/>
    <w:rsid w:val="FEFDD0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2"/>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4"/>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5"/>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9"/>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8"/>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9"/>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Normal (Web)"/>
    <w:basedOn w:val="1"/>
    <w:semiHidden/>
    <w:unhideWhenUsed/>
    <w:qFormat/>
    <w:uiPriority w:val="99"/>
    <w:pPr>
      <w:spacing w:beforeAutospacing="1" w:after="0" w:afterAutospacing="1"/>
    </w:pPr>
    <w:rPr>
      <w:rFonts w:cs="Times New Roman"/>
      <w:kern w:val="0"/>
      <w:sz w:val="24"/>
    </w:rPr>
  </w:style>
  <w:style w:type="paragraph" w:styleId="15">
    <w:name w:val="Title"/>
    <w:basedOn w:val="1"/>
    <w:next w:val="1"/>
    <w:link w:val="28"/>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7">
    <w:name w:val="Table Grid"/>
    <w:basedOn w:val="1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
    <w:name w:val="标题 1 字符"/>
    <w:basedOn w:val="18"/>
    <w:link w:val="2"/>
    <w:qFormat/>
    <w:uiPriority w:val="9"/>
    <w:rPr>
      <w:rFonts w:asciiTheme="majorHAnsi" w:hAnsiTheme="majorHAnsi" w:eastAsiaTheme="majorEastAsia" w:cstheme="majorBidi"/>
      <w:color w:val="2F5597" w:themeColor="accent1" w:themeShade="BF"/>
      <w:sz w:val="48"/>
      <w:szCs w:val="48"/>
    </w:rPr>
  </w:style>
  <w:style w:type="character" w:customStyle="1" w:styleId="20">
    <w:name w:val="标题 2 字符"/>
    <w:basedOn w:val="18"/>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1">
    <w:name w:val="标题 3 字符"/>
    <w:basedOn w:val="18"/>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2">
    <w:name w:val="标题 4 字符"/>
    <w:basedOn w:val="18"/>
    <w:link w:val="5"/>
    <w:semiHidden/>
    <w:qFormat/>
    <w:uiPriority w:val="9"/>
    <w:rPr>
      <w:rFonts w:cstheme="majorBidi"/>
      <w:color w:val="2F5597" w:themeColor="accent1" w:themeShade="BF"/>
      <w:sz w:val="28"/>
      <w:szCs w:val="28"/>
    </w:rPr>
  </w:style>
  <w:style w:type="character" w:customStyle="1" w:styleId="23">
    <w:name w:val="标题 5 字符"/>
    <w:basedOn w:val="18"/>
    <w:link w:val="6"/>
    <w:semiHidden/>
    <w:qFormat/>
    <w:uiPriority w:val="9"/>
    <w:rPr>
      <w:rFonts w:cstheme="majorBidi"/>
      <w:color w:val="2F5597" w:themeColor="accent1" w:themeShade="BF"/>
      <w:sz w:val="24"/>
    </w:rPr>
  </w:style>
  <w:style w:type="character" w:customStyle="1" w:styleId="24">
    <w:name w:val="标题 6 字符"/>
    <w:basedOn w:val="18"/>
    <w:link w:val="7"/>
    <w:semiHidden/>
    <w:qFormat/>
    <w:uiPriority w:val="9"/>
    <w:rPr>
      <w:rFonts w:cstheme="majorBidi"/>
      <w:b/>
      <w:bCs/>
      <w:color w:val="2F5597" w:themeColor="accent1" w:themeShade="BF"/>
    </w:rPr>
  </w:style>
  <w:style w:type="character" w:customStyle="1" w:styleId="25">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8"/>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8"/>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明显强调1"/>
    <w:basedOn w:val="18"/>
    <w:qFormat/>
    <w:uiPriority w:val="21"/>
    <w:rPr>
      <w:i/>
      <w:iCs/>
      <w:color w:val="2F5597" w:themeColor="accent1" w:themeShade="BF"/>
    </w:rPr>
  </w:style>
  <w:style w:type="paragraph" w:styleId="34">
    <w:name w:val="Intense Quote"/>
    <w:basedOn w:val="1"/>
    <w:next w:val="1"/>
    <w:link w:val="35"/>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5">
    <w:name w:val="明显引用 字符"/>
    <w:basedOn w:val="18"/>
    <w:link w:val="34"/>
    <w:qFormat/>
    <w:uiPriority w:val="30"/>
    <w:rPr>
      <w:i/>
      <w:iCs/>
      <w:color w:val="2F5597" w:themeColor="accent1" w:themeShade="BF"/>
    </w:rPr>
  </w:style>
  <w:style w:type="character" w:customStyle="1" w:styleId="36">
    <w:name w:val="明显参考1"/>
    <w:basedOn w:val="18"/>
    <w:qFormat/>
    <w:uiPriority w:val="32"/>
    <w:rPr>
      <w:b/>
      <w:bCs/>
      <w:smallCaps/>
      <w:color w:val="2F5597" w:themeColor="accent1" w:themeShade="BF"/>
      <w:spacing w:val="5"/>
    </w:rPr>
  </w:style>
  <w:style w:type="table" w:customStyle="1" w:styleId="37">
    <w:name w:val="网格型1"/>
    <w:basedOn w:val="16"/>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8">
    <w:name w:val="页眉 字符"/>
    <w:basedOn w:val="18"/>
    <w:link w:val="12"/>
    <w:qFormat/>
    <w:uiPriority w:val="99"/>
    <w:rPr>
      <w:rFonts w:asciiTheme="minorHAnsi" w:hAnsiTheme="minorHAnsi" w:eastAsiaTheme="minorEastAsia" w:cstheme="minorBidi"/>
      <w:kern w:val="2"/>
      <w:sz w:val="18"/>
      <w:szCs w:val="18"/>
      <w14:ligatures w14:val="standardContextual"/>
    </w:rPr>
  </w:style>
  <w:style w:type="character" w:customStyle="1" w:styleId="39">
    <w:name w:val="页脚 字符"/>
    <w:basedOn w:val="18"/>
    <w:link w:val="11"/>
    <w:qFormat/>
    <w:uiPriority w:val="99"/>
    <w:rPr>
      <w:rFonts w:asciiTheme="minorHAnsi" w:hAnsiTheme="minorHAnsi" w:eastAsiaTheme="minorEastAsia" w:cstheme="minorBidi"/>
      <w:kern w:val="2"/>
      <w:sz w:val="18"/>
      <w:szCs w:val="18"/>
      <w14:ligatures w14:val="standardContextual"/>
    </w:rPr>
  </w:style>
  <w:style w:type="paragraph" w:customStyle="1" w:styleId="40">
    <w:name w:val="修订1"/>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5887</Words>
  <Characters>5946</Characters>
  <Lines>660</Lines>
  <Paragraphs>303</Paragraphs>
  <TotalTime>19</TotalTime>
  <ScaleCrop>false</ScaleCrop>
  <LinksUpToDate>false</LinksUpToDate>
  <CharactersWithSpaces>11530</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2026-08-06T16:38:00Z</dcterms:created>
  <dc:creator>邹汶倩</dc:creator>
  <cp:lastModifiedBy>刁琳</cp:lastModifiedBy>
  <dcterms:modified xsi:type="dcterms:W3CDTF">2026-10-10T09:24:00Z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eyJoZGlkIjoiMzEwNTM5NzYwMDRjMzkwZTVkZjY2ODkwMGIxNGU0OTUiLCJ1c2VySWQiOiI2NDI2NTg1MDMifQ==</vt:lpwstr>
  </property>
  <property fmtid="{D5CDD505-2E9C-101B-9397-08002B2CF9AE}" pid="3" name="KSOProductBuildVer">
    <vt:lpwstr>2052-11.8.2.10386</vt:lpwstr>
  </property>
  <property fmtid="{D5CDD505-2E9C-101B-9397-08002B2CF9AE}" pid="4" name="ICV">
    <vt:lpwstr>3160EB6B2ACC4F33AB6ED6DB3C4C7CA6_13</vt:lpwstr>
  </property>
  <property fmtid="{D5CDD505-2E9C-101B-9397-08002B2CF9AE}" pid="5" name="_DocHome">
    <vt:i4>-1503755132</vt:i4>
  </property>
</Properties>
</file>