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38505">
      <w:pPr>
        <w:tabs>
          <w:tab w:val="left" w:pos="8580"/>
        </w:tabs>
        <w:adjustRightInd w:val="0"/>
        <w:snapToGrid w:val="0"/>
        <w:ind w:right="440" w:rightChars="200"/>
        <w:rPr>
          <w:rFonts w:ascii="宋体"/>
          <w:sz w:val="30"/>
          <w:szCs w:val="30"/>
        </w:rPr>
      </w:pPr>
    </w:p>
    <w:tbl>
      <w:tblPr>
        <w:tblStyle w:val="14"/>
        <w:tblW w:w="8789" w:type="dxa"/>
        <w:tblInd w:w="0" w:type="dxa"/>
        <w:tblLayout w:type="autofit"/>
        <w:tblCellMar>
          <w:top w:w="0" w:type="dxa"/>
          <w:left w:w="0" w:type="dxa"/>
          <w:bottom w:w="0" w:type="dxa"/>
          <w:right w:w="0" w:type="dxa"/>
        </w:tblCellMar>
      </w:tblPr>
      <w:tblGrid>
        <w:gridCol w:w="4395"/>
        <w:gridCol w:w="141"/>
        <w:gridCol w:w="4253"/>
      </w:tblGrid>
      <w:tr w14:paraId="623DD142">
        <w:tblPrEx>
          <w:tblCellMar>
            <w:top w:w="0" w:type="dxa"/>
            <w:left w:w="0" w:type="dxa"/>
            <w:bottom w:w="0" w:type="dxa"/>
            <w:right w:w="0" w:type="dxa"/>
          </w:tblCellMar>
        </w:tblPrEx>
        <w:tc>
          <w:tcPr>
            <w:tcW w:w="4536" w:type="dxa"/>
            <w:gridSpan w:val="2"/>
            <w:tcBorders>
              <w:top w:val="nil"/>
              <w:left w:val="nil"/>
              <w:bottom w:val="single" w:color="244061" w:sz="8" w:space="0"/>
              <w:right w:val="nil"/>
            </w:tcBorders>
            <w:noWrap w:val="0"/>
            <w:vAlign w:val="center"/>
          </w:tcPr>
          <w:p w14:paraId="162EAC3E">
            <w:pPr>
              <w:tabs>
                <w:tab w:val="left" w:pos="8580"/>
              </w:tabs>
              <w:ind w:right="440" w:rightChars="200"/>
              <w:jc w:val="center"/>
              <w:rPr>
                <w:color w:val="000000"/>
              </w:rPr>
            </w:pPr>
            <w:r>
              <w:rPr>
                <w:color w:val="000000"/>
              </w:rPr>
              <w:drawing>
                <wp:inline distT="0" distB="0" distL="114300" distR="114300">
                  <wp:extent cx="2580640" cy="758825"/>
                  <wp:effectExtent l="0" t="0" r="10160" b="3175"/>
                  <wp:docPr id="1" name="图片 1" descr="826092399164847097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260923991648470974937"/>
                          <pic:cNvPicPr>
                            <a:picLocks noChangeAspect="1"/>
                          </pic:cNvPicPr>
                        </pic:nvPicPr>
                        <pic:blipFill>
                          <a:blip r:embed="rId11"/>
                          <a:stretch>
                            <a:fillRect/>
                          </a:stretch>
                        </pic:blipFill>
                        <pic:spPr>
                          <a:xfrm>
                            <a:off x="0" y="0"/>
                            <a:ext cx="2580640" cy="758825"/>
                          </a:xfrm>
                          <a:prstGeom prst="rect">
                            <a:avLst/>
                          </a:prstGeom>
                          <a:noFill/>
                          <a:ln>
                            <a:noFill/>
                          </a:ln>
                        </pic:spPr>
                      </pic:pic>
                    </a:graphicData>
                  </a:graphic>
                </wp:inline>
              </w:drawing>
            </w:r>
          </w:p>
          <w:p w14:paraId="4FF43A04">
            <w:pPr>
              <w:tabs>
                <w:tab w:val="left" w:pos="8580"/>
              </w:tabs>
              <w:ind w:right="440" w:rightChars="200"/>
              <w:jc w:val="center"/>
              <w:rPr>
                <w:color w:val="000000"/>
              </w:rPr>
            </w:pPr>
            <w:r>
              <w:rPr>
                <w:rFonts w:hint="eastAsia" w:ascii="黑体" w:eastAsia="黑体"/>
                <w:bCs/>
                <w:color w:val="000000"/>
                <w:spacing w:val="40"/>
                <w:sz w:val="32"/>
                <w:szCs w:val="32"/>
              </w:rPr>
              <w:t>中国民用航空局</w:t>
            </w:r>
          </w:p>
        </w:tc>
        <w:tc>
          <w:tcPr>
            <w:tcW w:w="4253" w:type="dxa"/>
            <w:tcBorders>
              <w:top w:val="nil"/>
              <w:left w:val="nil"/>
              <w:bottom w:val="single" w:color="244061" w:sz="8" w:space="0"/>
              <w:right w:val="nil"/>
            </w:tcBorders>
            <w:noWrap w:val="0"/>
            <w:vAlign w:val="center"/>
          </w:tcPr>
          <w:p w14:paraId="226595BF">
            <w:pPr>
              <w:tabs>
                <w:tab w:val="left" w:pos="8580"/>
              </w:tabs>
              <w:snapToGrid w:val="0"/>
              <w:ind w:right="440" w:rightChars="200"/>
              <w:jc w:val="center"/>
              <w:rPr>
                <w:color w:val="000000"/>
                <w:spacing w:val="120"/>
                <w:sz w:val="52"/>
                <w:szCs w:val="52"/>
              </w:rPr>
            </w:pPr>
            <w:r>
              <w:rPr>
                <w:rFonts w:hint="eastAsia"/>
                <w:b/>
                <w:bCs/>
                <w:color w:val="000000"/>
                <w:spacing w:val="60"/>
                <w:sz w:val="52"/>
                <w:szCs w:val="52"/>
              </w:rPr>
              <w:t>咨询通</w:t>
            </w:r>
            <w:r>
              <w:rPr>
                <w:rFonts w:hint="eastAsia"/>
                <w:b/>
                <w:bCs/>
                <w:color w:val="000000"/>
                <w:sz w:val="52"/>
                <w:szCs w:val="52"/>
              </w:rPr>
              <w:t>告</w:t>
            </w:r>
          </w:p>
        </w:tc>
      </w:tr>
      <w:tr w14:paraId="6DCB7B36">
        <w:tc>
          <w:tcPr>
            <w:tcW w:w="4536" w:type="dxa"/>
            <w:gridSpan w:val="2"/>
            <w:tcBorders>
              <w:top w:val="single" w:color="244061" w:sz="8" w:space="0"/>
              <w:left w:val="nil"/>
              <w:bottom w:val="nil"/>
              <w:right w:val="nil"/>
            </w:tcBorders>
            <w:noWrap w:val="0"/>
            <w:vAlign w:val="center"/>
          </w:tcPr>
          <w:p w14:paraId="6A32E277">
            <w:pPr>
              <w:tabs>
                <w:tab w:val="left" w:pos="8580"/>
              </w:tabs>
              <w:snapToGrid w:val="0"/>
              <w:ind w:right="440" w:rightChars="200"/>
              <w:rPr>
                <w:rFonts w:ascii="仿宋_GB2312" w:eastAsia="仿宋_GB2312"/>
                <w:bCs/>
                <w:color w:val="4472C4"/>
                <w:sz w:val="24"/>
              </w:rPr>
            </w:pPr>
          </w:p>
        </w:tc>
        <w:tc>
          <w:tcPr>
            <w:tcW w:w="4253" w:type="dxa"/>
            <w:tcBorders>
              <w:top w:val="single" w:color="244061" w:sz="8" w:space="0"/>
              <w:left w:val="nil"/>
              <w:bottom w:val="nil"/>
              <w:right w:val="nil"/>
            </w:tcBorders>
            <w:noWrap w:val="0"/>
            <w:vAlign w:val="center"/>
          </w:tcPr>
          <w:p w14:paraId="086B1E7E">
            <w:pPr>
              <w:tabs>
                <w:tab w:val="left" w:pos="8580"/>
              </w:tabs>
              <w:snapToGrid w:val="0"/>
              <w:ind w:right="440" w:rightChars="200"/>
              <w:jc w:val="left"/>
              <w:rPr>
                <w:rFonts w:ascii="仿宋_GB2312" w:eastAsia="仿宋_GB2312"/>
                <w:bCs/>
                <w:color w:val="4472C4"/>
                <w:sz w:val="24"/>
              </w:rPr>
            </w:pPr>
          </w:p>
        </w:tc>
      </w:tr>
      <w:tr w14:paraId="2C1CE6E1">
        <w:tblPrEx>
          <w:tblCellMar>
            <w:top w:w="0" w:type="dxa"/>
            <w:left w:w="0" w:type="dxa"/>
            <w:bottom w:w="0" w:type="dxa"/>
            <w:right w:w="0" w:type="dxa"/>
          </w:tblCellMar>
        </w:tblPrEx>
        <w:trPr>
          <w:trHeight w:val="577" w:hRule="atLeast"/>
        </w:trPr>
        <w:tc>
          <w:tcPr>
            <w:tcW w:w="4395" w:type="dxa"/>
            <w:tcBorders>
              <w:top w:val="nil"/>
              <w:left w:val="nil"/>
              <w:bottom w:val="nil"/>
              <w:right w:val="nil"/>
            </w:tcBorders>
            <w:noWrap w:val="0"/>
            <w:vAlign w:val="center"/>
          </w:tcPr>
          <w:p w14:paraId="0F0F0E4D">
            <w:pPr>
              <w:tabs>
                <w:tab w:val="left" w:pos="8580"/>
              </w:tabs>
              <w:snapToGrid w:val="0"/>
              <w:ind w:right="440" w:rightChars="200"/>
              <w:jc w:val="center"/>
              <w:rPr>
                <w:rFonts w:ascii="仿宋_GB2312" w:eastAsia="仿宋_GB2312"/>
                <w:bCs/>
                <w:color w:val="38649A"/>
                <w:sz w:val="28"/>
                <w:szCs w:val="28"/>
              </w:rPr>
            </w:pPr>
          </w:p>
        </w:tc>
        <w:tc>
          <w:tcPr>
            <w:tcW w:w="4394" w:type="dxa"/>
            <w:gridSpan w:val="2"/>
            <w:tcBorders>
              <w:top w:val="nil"/>
              <w:left w:val="nil"/>
              <w:bottom w:val="nil"/>
              <w:right w:val="nil"/>
            </w:tcBorders>
            <w:noWrap w:val="0"/>
            <w:vAlign w:val="center"/>
          </w:tcPr>
          <w:p w14:paraId="1B7B9475">
            <w:pPr>
              <w:tabs>
                <w:tab w:val="left" w:pos="8580"/>
              </w:tabs>
              <w:snapToGrid w:val="0"/>
              <w:ind w:right="440" w:rightChars="200"/>
              <w:jc w:val="left"/>
              <w:rPr>
                <w:rFonts w:ascii="仿宋_GB2312" w:eastAsia="仿宋_GB2312"/>
                <w:bCs/>
                <w:color w:val="000000"/>
                <w:sz w:val="28"/>
                <w:szCs w:val="28"/>
              </w:rPr>
            </w:pPr>
            <w:r>
              <w:rPr>
                <w:rFonts w:hint="eastAsia" w:ascii="仿宋_GB2312" w:eastAsia="仿宋_GB2312"/>
                <w:bCs/>
                <w:color w:val="000000"/>
                <w:sz w:val="28"/>
                <w:szCs w:val="28"/>
              </w:rPr>
              <w:t>文    号：民航规〔202</w:t>
            </w:r>
            <w:r>
              <w:rPr>
                <w:rFonts w:hint="eastAsia" w:ascii="仿宋_GB2312" w:eastAsia="仿宋_GB2312"/>
                <w:bCs/>
                <w:color w:val="000000"/>
                <w:sz w:val="28"/>
                <w:szCs w:val="28"/>
                <w:lang w:val="en-US" w:eastAsia="zh-CN"/>
              </w:rPr>
              <w:t>6</w:t>
            </w:r>
            <w:r>
              <w:rPr>
                <w:rFonts w:hint="eastAsia" w:ascii="仿宋_GB2312" w:eastAsia="仿宋_GB2312"/>
                <w:bCs/>
                <w:color w:val="000000"/>
                <w:sz w:val="28"/>
                <w:szCs w:val="28"/>
              </w:rPr>
              <w:t>〕XX号</w:t>
            </w:r>
          </w:p>
        </w:tc>
      </w:tr>
      <w:tr w14:paraId="65157BE1">
        <w:tblPrEx>
          <w:tblCellMar>
            <w:top w:w="0" w:type="dxa"/>
            <w:left w:w="0" w:type="dxa"/>
            <w:bottom w:w="0" w:type="dxa"/>
            <w:right w:w="0" w:type="dxa"/>
          </w:tblCellMar>
        </w:tblPrEx>
        <w:tc>
          <w:tcPr>
            <w:tcW w:w="4395" w:type="dxa"/>
            <w:tcBorders>
              <w:top w:val="nil"/>
              <w:left w:val="nil"/>
              <w:bottom w:val="nil"/>
              <w:right w:val="nil"/>
            </w:tcBorders>
            <w:noWrap w:val="0"/>
            <w:vAlign w:val="center"/>
          </w:tcPr>
          <w:p w14:paraId="0C03ECDB">
            <w:pPr>
              <w:tabs>
                <w:tab w:val="left" w:pos="8580"/>
              </w:tabs>
              <w:snapToGrid w:val="0"/>
              <w:ind w:right="440" w:rightChars="200"/>
              <w:jc w:val="center"/>
              <w:rPr>
                <w:rFonts w:ascii="仿宋_GB2312" w:eastAsia="仿宋_GB2312"/>
                <w:bCs/>
                <w:color w:val="38649A"/>
                <w:sz w:val="28"/>
                <w:szCs w:val="28"/>
              </w:rPr>
            </w:pPr>
          </w:p>
        </w:tc>
        <w:tc>
          <w:tcPr>
            <w:tcW w:w="4394" w:type="dxa"/>
            <w:gridSpan w:val="2"/>
            <w:tcBorders>
              <w:top w:val="nil"/>
              <w:left w:val="nil"/>
              <w:bottom w:val="nil"/>
              <w:right w:val="nil"/>
            </w:tcBorders>
            <w:noWrap w:val="0"/>
            <w:vAlign w:val="center"/>
          </w:tcPr>
          <w:p w14:paraId="06C85BEB">
            <w:pPr>
              <w:tabs>
                <w:tab w:val="left" w:pos="8580"/>
              </w:tabs>
              <w:snapToGrid w:val="0"/>
              <w:ind w:right="440" w:rightChars="200"/>
              <w:jc w:val="left"/>
              <w:rPr>
                <w:rFonts w:hint="default" w:ascii="仿宋_GB2312" w:eastAsia="仿宋_GB2312"/>
                <w:bCs/>
                <w:color w:val="000000"/>
                <w:sz w:val="28"/>
                <w:szCs w:val="28"/>
                <w:lang w:val="en-US" w:eastAsia="zh-CN"/>
              </w:rPr>
            </w:pPr>
            <w:r>
              <w:rPr>
                <w:rFonts w:hint="eastAsia" w:ascii="仿宋_GB2312" w:eastAsia="仿宋_GB2312"/>
                <w:bCs/>
                <w:color w:val="000000"/>
                <w:sz w:val="28"/>
                <w:szCs w:val="28"/>
              </w:rPr>
              <w:t>编    号：AC</w:t>
            </w:r>
            <w:r>
              <w:rPr>
                <w:rFonts w:hint="eastAsia" w:ascii="仿宋_GB2312" w:eastAsia="仿宋_GB2312"/>
                <w:bCs/>
                <w:sz w:val="28"/>
                <w:szCs w:val="28"/>
              </w:rPr>
              <w:t>-9</w:t>
            </w:r>
            <w:r>
              <w:rPr>
                <w:rFonts w:hint="eastAsia" w:ascii="仿宋_GB2312" w:eastAsia="仿宋_GB2312"/>
                <w:bCs/>
                <w:sz w:val="28"/>
                <w:szCs w:val="28"/>
                <w:lang w:val="en-US" w:eastAsia="zh-CN"/>
              </w:rPr>
              <w:t>1</w:t>
            </w:r>
            <w:r>
              <w:rPr>
                <w:rFonts w:hint="eastAsia" w:ascii="仿宋_GB2312" w:eastAsia="仿宋_GB2312"/>
                <w:bCs/>
                <w:sz w:val="28"/>
                <w:szCs w:val="28"/>
              </w:rPr>
              <w:t>-FS-</w:t>
            </w:r>
            <w:r>
              <w:rPr>
                <w:rFonts w:hint="eastAsia" w:ascii="仿宋_GB2312" w:eastAsia="仿宋_GB2312"/>
                <w:bCs/>
                <w:sz w:val="28"/>
                <w:szCs w:val="28"/>
                <w:lang w:val="en-US" w:eastAsia="zh-CN"/>
              </w:rPr>
              <w:t>21R1</w:t>
            </w:r>
          </w:p>
        </w:tc>
      </w:tr>
      <w:tr w14:paraId="6D0FC3D8">
        <w:tblPrEx>
          <w:tblCellMar>
            <w:top w:w="0" w:type="dxa"/>
            <w:left w:w="0" w:type="dxa"/>
            <w:bottom w:w="0" w:type="dxa"/>
            <w:right w:w="0" w:type="dxa"/>
          </w:tblCellMar>
        </w:tblPrEx>
        <w:trPr>
          <w:trHeight w:val="490" w:hRule="atLeast"/>
        </w:trPr>
        <w:tc>
          <w:tcPr>
            <w:tcW w:w="4395" w:type="dxa"/>
            <w:tcBorders>
              <w:top w:val="nil"/>
              <w:left w:val="nil"/>
              <w:bottom w:val="nil"/>
              <w:right w:val="nil"/>
            </w:tcBorders>
            <w:noWrap w:val="0"/>
            <w:vAlign w:val="center"/>
          </w:tcPr>
          <w:p w14:paraId="2AD163A1">
            <w:pPr>
              <w:tabs>
                <w:tab w:val="left" w:pos="8580"/>
              </w:tabs>
              <w:snapToGrid w:val="0"/>
              <w:ind w:right="440" w:rightChars="200"/>
              <w:jc w:val="center"/>
              <w:rPr>
                <w:rFonts w:ascii="仿宋_GB2312" w:eastAsia="仿宋_GB2312"/>
                <w:bCs/>
                <w:color w:val="38649A"/>
                <w:sz w:val="28"/>
                <w:szCs w:val="28"/>
              </w:rPr>
            </w:pPr>
          </w:p>
        </w:tc>
        <w:tc>
          <w:tcPr>
            <w:tcW w:w="4394" w:type="dxa"/>
            <w:gridSpan w:val="2"/>
            <w:tcBorders>
              <w:top w:val="nil"/>
              <w:left w:val="nil"/>
              <w:bottom w:val="nil"/>
              <w:right w:val="nil"/>
            </w:tcBorders>
            <w:noWrap w:val="0"/>
            <w:vAlign w:val="center"/>
          </w:tcPr>
          <w:p w14:paraId="4C0204C8">
            <w:pPr>
              <w:tabs>
                <w:tab w:val="left" w:pos="8580"/>
              </w:tabs>
              <w:snapToGrid w:val="0"/>
              <w:ind w:right="440" w:rightChars="200"/>
              <w:jc w:val="left"/>
              <w:rPr>
                <w:rFonts w:ascii="仿宋_GB2312" w:eastAsia="仿宋_GB2312"/>
                <w:bCs/>
                <w:color w:val="000000"/>
                <w:sz w:val="28"/>
                <w:szCs w:val="28"/>
              </w:rPr>
            </w:pPr>
            <w:r>
              <w:rPr>
                <w:rFonts w:hint="eastAsia" w:ascii="仿宋_GB2312" w:eastAsia="仿宋_GB2312"/>
                <w:bCs/>
                <w:color w:val="000000"/>
                <w:sz w:val="28"/>
                <w:szCs w:val="28"/>
              </w:rPr>
              <w:t>下发日期：202</w:t>
            </w:r>
            <w:r>
              <w:rPr>
                <w:rFonts w:hint="eastAsia" w:ascii="仿宋_GB2312" w:eastAsia="仿宋_GB2312"/>
                <w:bCs/>
                <w:color w:val="000000"/>
                <w:sz w:val="28"/>
                <w:szCs w:val="28"/>
                <w:lang w:val="en-US" w:eastAsia="zh-CN"/>
              </w:rPr>
              <w:t>6</w:t>
            </w:r>
            <w:r>
              <w:rPr>
                <w:rFonts w:hint="eastAsia" w:ascii="仿宋_GB2312" w:eastAsia="仿宋_GB2312"/>
                <w:bCs/>
                <w:color w:val="000000"/>
                <w:sz w:val="28"/>
                <w:szCs w:val="28"/>
              </w:rPr>
              <w:t>年XX月XX日</w:t>
            </w:r>
          </w:p>
        </w:tc>
      </w:tr>
    </w:tbl>
    <w:p w14:paraId="718729CC">
      <w:pPr>
        <w:tabs>
          <w:tab w:val="left" w:pos="8580"/>
        </w:tabs>
        <w:adjustRightInd w:val="0"/>
        <w:snapToGrid w:val="0"/>
        <w:spacing w:line="560" w:lineRule="exact"/>
        <w:ind w:right="440" w:rightChars="200"/>
        <w:rPr>
          <w:rFonts w:ascii="宋体" w:hAnsi="宋体"/>
          <w:sz w:val="30"/>
          <w:szCs w:val="30"/>
          <w:u w:val="thick"/>
        </w:rPr>
      </w:pPr>
    </w:p>
    <w:p w14:paraId="6828D75B">
      <w:pPr>
        <w:tabs>
          <w:tab w:val="left" w:pos="8580"/>
        </w:tabs>
        <w:adjustRightInd w:val="0"/>
        <w:snapToGrid w:val="0"/>
        <w:spacing w:line="560" w:lineRule="exact"/>
        <w:ind w:right="440" w:rightChars="200"/>
        <w:rPr>
          <w:rFonts w:ascii="宋体" w:hAnsi="宋体"/>
          <w:sz w:val="30"/>
          <w:szCs w:val="30"/>
          <w:u w:val="thick"/>
        </w:rPr>
      </w:pPr>
    </w:p>
    <w:p w14:paraId="5FCD1AB8">
      <w:pPr>
        <w:tabs>
          <w:tab w:val="left" w:pos="8580"/>
        </w:tabs>
        <w:adjustRightInd w:val="0"/>
        <w:snapToGrid w:val="0"/>
        <w:spacing w:line="560" w:lineRule="exact"/>
        <w:ind w:right="440" w:rightChars="200"/>
        <w:rPr>
          <w:rFonts w:ascii="宋体" w:hAnsi="宋体"/>
          <w:sz w:val="30"/>
          <w:szCs w:val="30"/>
          <w:u w:val="thick"/>
        </w:rPr>
      </w:pPr>
    </w:p>
    <w:p w14:paraId="47F4E2B8">
      <w:pPr>
        <w:tabs>
          <w:tab w:val="left" w:pos="8580"/>
        </w:tabs>
        <w:adjustRightInd w:val="0"/>
        <w:snapToGrid w:val="0"/>
        <w:spacing w:line="560" w:lineRule="exact"/>
        <w:ind w:right="440" w:rightChars="200"/>
        <w:rPr>
          <w:rFonts w:hint="eastAsia" w:ascii="宋体" w:hAnsi="宋体"/>
          <w:sz w:val="30"/>
          <w:szCs w:val="30"/>
        </w:rPr>
      </w:pPr>
    </w:p>
    <w:p w14:paraId="7676EF15">
      <w:pPr>
        <w:tabs>
          <w:tab w:val="left" w:pos="8580"/>
        </w:tabs>
        <w:autoSpaceDE/>
        <w:autoSpaceDN/>
        <w:adjustRightInd w:val="0"/>
        <w:snapToGrid w:val="0"/>
        <w:spacing w:before="312" w:beforeLines="100" w:line="560" w:lineRule="exact"/>
        <w:ind w:right="440" w:rightChars="200"/>
        <w:jc w:val="center"/>
        <w:rPr>
          <w:rFonts w:ascii="黑体" w:hAnsi="黑体" w:eastAsia="黑体" w:cs="Times New Roman"/>
          <w:b/>
          <w:spacing w:val="0"/>
          <w:kern w:val="2"/>
          <w:sz w:val="52"/>
          <w:szCs w:val="52"/>
        </w:rPr>
      </w:pPr>
      <w:bookmarkStart w:id="0" w:name="_Hlk86912488"/>
      <w:r>
        <w:rPr>
          <w:rFonts w:ascii="黑体" w:hAnsi="黑体" w:eastAsia="黑体" w:cs="Times New Roman"/>
          <w:b/>
          <w:color w:val="auto"/>
          <w:spacing w:val="0"/>
          <w:kern w:val="2"/>
          <w:sz w:val="52"/>
          <w:szCs w:val="52"/>
        </w:rPr>
        <w:t>航空运营人</w:t>
      </w:r>
      <w:r>
        <w:rPr>
          <w:rFonts w:hint="default" w:ascii="黑体" w:hAnsi="黑体" w:eastAsia="黑体" w:cs="Times New Roman"/>
          <w:b/>
          <w:color w:val="auto"/>
          <w:spacing w:val="0"/>
          <w:kern w:val="2"/>
          <w:sz w:val="52"/>
          <w:szCs w:val="52"/>
          <w:lang w:val="en-US" w:eastAsia="zh-CN"/>
        </w:rPr>
        <w:t>机载</w:t>
      </w:r>
      <w:r>
        <w:rPr>
          <w:rFonts w:ascii="黑体" w:hAnsi="黑体" w:eastAsia="黑体" w:cs="Times New Roman"/>
          <w:b/>
          <w:color w:val="auto"/>
          <w:spacing w:val="0"/>
          <w:kern w:val="2"/>
          <w:sz w:val="52"/>
          <w:szCs w:val="52"/>
        </w:rPr>
        <w:t>导航数据库管理规范</w:t>
      </w:r>
    </w:p>
    <w:p w14:paraId="17AF6148">
      <w:pPr>
        <w:tabs>
          <w:tab w:val="left" w:pos="8580"/>
        </w:tabs>
        <w:autoSpaceDE/>
        <w:autoSpaceDN/>
        <w:adjustRightInd w:val="0"/>
        <w:snapToGrid w:val="0"/>
        <w:spacing w:before="312" w:beforeLines="100" w:line="560" w:lineRule="exact"/>
        <w:ind w:right="440" w:rightChars="200"/>
        <w:jc w:val="center"/>
        <w:rPr>
          <w:rFonts w:hint="default" w:ascii="黑体" w:hAnsi="黑体" w:eastAsia="黑体" w:cs="Times New Roman"/>
          <w:b/>
          <w:kern w:val="2"/>
          <w:sz w:val="52"/>
          <w:szCs w:val="52"/>
          <w:lang w:eastAsia="zh-CN"/>
        </w:rPr>
      </w:pPr>
      <w:r>
        <w:rPr>
          <w:rFonts w:hint="default" w:ascii="黑体" w:hAnsi="黑体" w:eastAsia="黑体" w:cs="Times New Roman"/>
          <w:b/>
          <w:kern w:val="2"/>
          <w:sz w:val="52"/>
          <w:szCs w:val="52"/>
          <w:lang w:eastAsia="zh-CN"/>
        </w:rPr>
        <w:t>（</w:t>
      </w:r>
      <w:r>
        <w:rPr>
          <w:rFonts w:hint="default" w:ascii="黑体" w:hAnsi="黑体" w:eastAsia="黑体" w:cs="Times New Roman"/>
          <w:b/>
          <w:kern w:val="2"/>
          <w:sz w:val="52"/>
          <w:szCs w:val="52"/>
          <w:lang w:val="en-US" w:eastAsia="zh-CN"/>
        </w:rPr>
        <w:t>征求意见稿</w:t>
      </w:r>
      <w:r>
        <w:rPr>
          <w:rFonts w:hint="default" w:ascii="黑体" w:hAnsi="黑体" w:eastAsia="黑体" w:cs="Times New Roman"/>
          <w:b/>
          <w:kern w:val="2"/>
          <w:sz w:val="52"/>
          <w:szCs w:val="52"/>
          <w:lang w:eastAsia="zh-CN"/>
        </w:rPr>
        <w:t>）</w:t>
      </w:r>
    </w:p>
    <w:bookmarkEnd w:id="0"/>
    <w:p w14:paraId="0EFB7919">
      <w:pPr>
        <w:tabs>
          <w:tab w:val="left" w:pos="8580"/>
        </w:tabs>
        <w:adjustRightInd w:val="0"/>
        <w:snapToGrid w:val="0"/>
        <w:spacing w:before="312" w:beforeLines="100" w:line="560" w:lineRule="exact"/>
        <w:ind w:right="440" w:rightChars="200"/>
        <w:jc w:val="center"/>
        <w:rPr>
          <w:rFonts w:hint="eastAsia" w:ascii="宋体" w:hAnsi="宋体"/>
          <w:b/>
          <w:sz w:val="36"/>
          <w:szCs w:val="36"/>
        </w:rPr>
      </w:pPr>
    </w:p>
    <w:p w14:paraId="20E68A16">
      <w:pPr>
        <w:tabs>
          <w:tab w:val="left" w:pos="8580"/>
        </w:tabs>
        <w:adjustRightInd w:val="0"/>
        <w:snapToGrid w:val="0"/>
        <w:spacing w:before="312" w:beforeLines="100" w:line="560" w:lineRule="exact"/>
        <w:ind w:right="440" w:rightChars="200"/>
        <w:jc w:val="center"/>
        <w:rPr>
          <w:rFonts w:hint="eastAsia" w:ascii="宋体" w:hAnsi="宋体"/>
          <w:b/>
          <w:sz w:val="36"/>
          <w:szCs w:val="36"/>
        </w:rPr>
      </w:pPr>
    </w:p>
    <w:p w14:paraId="5FC939F6">
      <w:pPr>
        <w:tabs>
          <w:tab w:val="left" w:pos="8580"/>
        </w:tabs>
        <w:adjustRightInd w:val="0"/>
        <w:snapToGrid w:val="0"/>
        <w:spacing w:before="312" w:beforeLines="100" w:line="560" w:lineRule="exact"/>
        <w:ind w:right="440" w:rightChars="200"/>
        <w:jc w:val="center"/>
        <w:rPr>
          <w:rFonts w:hint="eastAsia" w:ascii="宋体" w:hAnsi="宋体"/>
          <w:b/>
          <w:sz w:val="36"/>
          <w:szCs w:val="36"/>
        </w:rPr>
      </w:pPr>
    </w:p>
    <w:p w14:paraId="14A7A319">
      <w:pPr>
        <w:tabs>
          <w:tab w:val="left" w:pos="8580"/>
        </w:tabs>
        <w:adjustRightInd w:val="0"/>
        <w:snapToGrid w:val="0"/>
        <w:spacing w:before="312" w:beforeLines="100" w:line="560" w:lineRule="exact"/>
        <w:ind w:right="440" w:rightChars="200"/>
        <w:jc w:val="center"/>
        <w:rPr>
          <w:rFonts w:hint="eastAsia" w:ascii="宋体" w:hAnsi="宋体"/>
          <w:b/>
          <w:sz w:val="36"/>
          <w:szCs w:val="36"/>
        </w:rPr>
      </w:pPr>
    </w:p>
    <w:p w14:paraId="78001087">
      <w:pPr>
        <w:tabs>
          <w:tab w:val="left" w:pos="8580"/>
        </w:tabs>
        <w:adjustRightInd w:val="0"/>
        <w:snapToGrid w:val="0"/>
        <w:spacing w:before="312" w:beforeLines="100" w:line="560" w:lineRule="exact"/>
        <w:ind w:right="440" w:rightChars="200"/>
        <w:jc w:val="center"/>
        <w:rPr>
          <w:rFonts w:ascii="宋体" w:hAnsi="宋体"/>
          <w:b/>
          <w:sz w:val="36"/>
          <w:szCs w:val="36"/>
        </w:rPr>
      </w:pPr>
    </w:p>
    <w:p w14:paraId="60E7955E">
      <w:pPr>
        <w:tabs>
          <w:tab w:val="left" w:pos="8580"/>
          <w:tab w:val="left" w:pos="8800"/>
        </w:tabs>
        <w:spacing w:line="560" w:lineRule="exact"/>
        <w:ind w:right="440" w:rightChars="200"/>
        <w:rPr>
          <w:rFonts w:hint="eastAsia" w:ascii="黑体" w:hAnsi="黑体" w:eastAsia="黑体" w:cs="宋体"/>
          <w:bCs/>
          <w:sz w:val="44"/>
          <w:szCs w:val="44"/>
        </w:rPr>
        <w:sectPr>
          <w:headerReference r:id="rId3" w:type="default"/>
          <w:footerReference r:id="rId5" w:type="default"/>
          <w:headerReference r:id="rId4" w:type="even"/>
          <w:pgSz w:w="11906" w:h="16838"/>
          <w:pgMar w:top="1440" w:right="1440" w:bottom="1440" w:left="1440" w:header="1361" w:footer="1361" w:gutter="0"/>
          <w:pgNumType w:start="1"/>
          <w:cols w:space="720" w:num="1"/>
          <w:docGrid w:type="linesAndChars" w:linePitch="312" w:charSpace="0"/>
        </w:sect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253365</wp:posOffset>
                </wp:positionV>
                <wp:extent cx="5645785" cy="0"/>
                <wp:effectExtent l="0" t="6350" r="0" b="6350"/>
                <wp:wrapNone/>
                <wp:docPr id="2" name="直接连接符 2"/>
                <wp:cNvGraphicFramePr/>
                <a:graphic xmlns:a="http://schemas.openxmlformats.org/drawingml/2006/main">
                  <a:graphicData uri="http://schemas.microsoft.com/office/word/2010/wordprocessingShape">
                    <wps:wsp>
                      <wps:cNvCnPr/>
                      <wps:spPr>
                        <a:xfrm>
                          <a:off x="0" y="0"/>
                          <a:ext cx="564578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9.95pt;height:0pt;width:444.55pt;z-index:251659264;mso-width-relative:page;mso-height-relative:page;" filled="f" stroked="t" coordsize="21600,21600" o:gfxdata="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ZnHHg1QAAAAYBAAAPAAAAAAAAAAEAIAAAACIAAABkcnMvZG93bnJldi54bWxQSwEC&#10;FAAUAAAACACHTuJAKVDA0fcBAADlAwAADgAAAAAAAAABACAAAAAkAQAAZHJzL2Uyb0RvYy54bWxQ&#10;SwUGAAAAAAYABgBZAQAAjQUAAAAA&#10;">
                <v:fill on="f" focussize="0,0"/>
                <v:stroke weight="1pt" color="#000000" joinstyle="round"/>
                <v:imagedata o:title=""/>
                <o:lock v:ext="edit" aspectratio="f"/>
              </v:line>
            </w:pict>
          </mc:Fallback>
        </mc:AlternateContent>
      </w:r>
    </w:p>
    <w:sdt>
      <w:sdtPr>
        <w:rPr>
          <w:rFonts w:ascii="宋体" w:hAnsi="宋体" w:eastAsia="宋体" w:cs="等线"/>
          <w:sz w:val="21"/>
          <w:szCs w:val="22"/>
          <w:lang w:val="en-US" w:eastAsia="zh-CN" w:bidi="ar-SA"/>
        </w:rPr>
        <w:id w:val="147476704"/>
        <w15:color w:val="DBDBDB"/>
        <w:docPartObj>
          <w:docPartGallery w:val="Table of Contents"/>
          <w:docPartUnique/>
        </w:docPartObj>
      </w:sdtPr>
      <w:sdtEndPr>
        <w:rPr>
          <w:rFonts w:ascii="宋体" w:hAnsi="宋体" w:eastAsia="宋体" w:cs="等线"/>
          <w:sz w:val="21"/>
          <w:szCs w:val="22"/>
          <w:lang w:val="en-US" w:eastAsia="zh-CN" w:bidi="ar-SA"/>
        </w:rPr>
      </w:sdtEndPr>
      <w:sdtContent>
        <w:p w14:paraId="6B505A5F">
          <w:pPr>
            <w:tabs>
              <w:tab w:val="left" w:pos="8580"/>
            </w:tabs>
            <w:spacing w:before="0" w:beforeLines="0" w:after="0" w:afterLines="0" w:line="240" w:lineRule="auto"/>
            <w:ind w:left="0" w:leftChars="0" w:right="440" w:rightChars="200" w:firstLine="0" w:firstLineChars="0"/>
            <w:jc w:val="center"/>
          </w:pPr>
          <w:r>
            <w:rPr>
              <w:rFonts w:ascii="宋体" w:hAnsi="宋体" w:eastAsia="宋体"/>
              <w:sz w:val="21"/>
            </w:rPr>
            <w:t>目录</w:t>
          </w:r>
        </w:p>
        <w:p w14:paraId="09747775">
          <w:pPr>
            <w:pStyle w:val="11"/>
            <w:tabs>
              <w:tab w:val="right" w:leader="dot" w:pos="9020"/>
            </w:tabs>
          </w:pPr>
          <w:r>
            <w:fldChar w:fldCharType="begin"/>
          </w:r>
          <w:r>
            <w:instrText xml:space="preserve">TOC \o "1-3" \h \u </w:instrText>
          </w:r>
          <w:r>
            <w:fldChar w:fldCharType="separate"/>
          </w:r>
          <w:r>
            <w:fldChar w:fldCharType="begin"/>
          </w:r>
          <w:r>
            <w:instrText xml:space="preserve"> HYPERLINK \l _Toc8296 </w:instrText>
          </w:r>
          <w:r>
            <w:fldChar w:fldCharType="separate"/>
          </w:r>
          <w:r>
            <w:rPr>
              <w:rFonts w:hint="eastAsia" w:ascii="黑体" w:hAnsi="黑体" w:eastAsia="黑体" w:cs="黑体"/>
              <w:bCs w:val="0"/>
              <w:szCs w:val="32"/>
              <w:lang w:val="en-US" w:eastAsia="zh-CN"/>
            </w:rPr>
            <w:t xml:space="preserve">1. </w:t>
          </w:r>
          <w:r>
            <w:rPr>
              <w:rFonts w:hint="eastAsia" w:ascii="黑体" w:hAnsi="黑体" w:eastAsia="黑体" w:cs="黑体"/>
              <w:bCs w:val="0"/>
              <w:szCs w:val="32"/>
            </w:rPr>
            <w:t>目的</w:t>
          </w:r>
          <w:r>
            <w:tab/>
          </w:r>
          <w:r>
            <w:fldChar w:fldCharType="begin"/>
          </w:r>
          <w:r>
            <w:instrText xml:space="preserve"> PAGEREF _Toc8296 \h </w:instrText>
          </w:r>
          <w:r>
            <w:fldChar w:fldCharType="separate"/>
          </w:r>
          <w:r>
            <w:t>1</w:t>
          </w:r>
          <w:r>
            <w:fldChar w:fldCharType="end"/>
          </w:r>
          <w:r>
            <w:fldChar w:fldCharType="end"/>
          </w:r>
        </w:p>
        <w:p w14:paraId="5BF1EC20">
          <w:pPr>
            <w:pStyle w:val="11"/>
            <w:tabs>
              <w:tab w:val="right" w:leader="dot" w:pos="9020"/>
            </w:tabs>
          </w:pPr>
          <w:r>
            <w:fldChar w:fldCharType="begin"/>
          </w:r>
          <w:r>
            <w:instrText xml:space="preserve"> HYPERLINK \l _Toc4591 </w:instrText>
          </w:r>
          <w:r>
            <w:fldChar w:fldCharType="separate"/>
          </w:r>
          <w:r>
            <w:rPr>
              <w:rFonts w:hint="eastAsia" w:ascii="黑体" w:hAnsi="黑体" w:eastAsia="黑体" w:cs="黑体"/>
              <w:bCs w:val="0"/>
              <w:szCs w:val="32"/>
            </w:rPr>
            <w:t>2. 适用范围</w:t>
          </w:r>
          <w:r>
            <w:tab/>
          </w:r>
          <w:r>
            <w:fldChar w:fldCharType="begin"/>
          </w:r>
          <w:r>
            <w:instrText xml:space="preserve"> PAGEREF _Toc4591 \h </w:instrText>
          </w:r>
          <w:r>
            <w:fldChar w:fldCharType="separate"/>
          </w:r>
          <w:r>
            <w:t>1</w:t>
          </w:r>
          <w:r>
            <w:fldChar w:fldCharType="end"/>
          </w:r>
          <w:r>
            <w:fldChar w:fldCharType="end"/>
          </w:r>
        </w:p>
        <w:p w14:paraId="2BAC7865">
          <w:pPr>
            <w:pStyle w:val="11"/>
            <w:tabs>
              <w:tab w:val="right" w:leader="dot" w:pos="9020"/>
            </w:tabs>
          </w:pPr>
          <w:r>
            <w:fldChar w:fldCharType="begin"/>
          </w:r>
          <w:r>
            <w:instrText xml:space="preserve"> HYPERLINK \l _Toc13431 </w:instrText>
          </w:r>
          <w:r>
            <w:fldChar w:fldCharType="separate"/>
          </w:r>
          <w:r>
            <w:rPr>
              <w:rFonts w:hint="eastAsia" w:ascii="黑体" w:hAnsi="黑体" w:eastAsia="黑体" w:cs="黑体"/>
              <w:bCs w:val="0"/>
              <w:szCs w:val="32"/>
              <w:lang w:val="en-US" w:eastAsia="zh-CN"/>
            </w:rPr>
            <w:t>3</w:t>
          </w:r>
          <w:r>
            <w:rPr>
              <w:rFonts w:hint="eastAsia" w:ascii="黑体" w:hAnsi="黑体" w:eastAsia="黑体" w:cs="黑体"/>
              <w:bCs w:val="0"/>
              <w:szCs w:val="32"/>
            </w:rPr>
            <w:t>. 参考资料</w:t>
          </w:r>
          <w:r>
            <w:tab/>
          </w:r>
          <w:r>
            <w:fldChar w:fldCharType="begin"/>
          </w:r>
          <w:r>
            <w:instrText xml:space="preserve"> PAGEREF _Toc13431 \h </w:instrText>
          </w:r>
          <w:r>
            <w:fldChar w:fldCharType="separate"/>
          </w:r>
          <w:r>
            <w:t>1</w:t>
          </w:r>
          <w:r>
            <w:fldChar w:fldCharType="end"/>
          </w:r>
          <w:r>
            <w:fldChar w:fldCharType="end"/>
          </w:r>
        </w:p>
        <w:p w14:paraId="77446F01">
          <w:pPr>
            <w:pStyle w:val="11"/>
            <w:tabs>
              <w:tab w:val="right" w:leader="dot" w:pos="9020"/>
            </w:tabs>
          </w:pPr>
          <w:r>
            <w:fldChar w:fldCharType="begin"/>
          </w:r>
          <w:r>
            <w:instrText xml:space="preserve"> HYPERLINK \l _Toc32498 </w:instrText>
          </w:r>
          <w:r>
            <w:fldChar w:fldCharType="separate"/>
          </w:r>
          <w:r>
            <w:rPr>
              <w:rFonts w:hint="eastAsia" w:ascii="黑体" w:hAnsi="黑体" w:eastAsia="黑体" w:cs="黑体"/>
              <w:bCs w:val="0"/>
              <w:szCs w:val="32"/>
              <w:lang w:val="en-US" w:eastAsia="zh-CN"/>
            </w:rPr>
            <w:t>4</w:t>
          </w:r>
          <w:r>
            <w:rPr>
              <w:rFonts w:hint="eastAsia" w:ascii="黑体" w:hAnsi="黑体" w:eastAsia="黑体" w:cs="黑体"/>
              <w:bCs w:val="0"/>
              <w:szCs w:val="32"/>
            </w:rPr>
            <w:t>. 背景</w:t>
          </w:r>
          <w:r>
            <w:tab/>
          </w:r>
          <w:r>
            <w:fldChar w:fldCharType="begin"/>
          </w:r>
          <w:r>
            <w:instrText xml:space="preserve"> PAGEREF _Toc32498 \h </w:instrText>
          </w:r>
          <w:r>
            <w:fldChar w:fldCharType="separate"/>
          </w:r>
          <w:r>
            <w:t>2</w:t>
          </w:r>
          <w:r>
            <w:fldChar w:fldCharType="end"/>
          </w:r>
          <w:r>
            <w:fldChar w:fldCharType="end"/>
          </w:r>
        </w:p>
        <w:p w14:paraId="19B86954">
          <w:pPr>
            <w:pStyle w:val="11"/>
            <w:tabs>
              <w:tab w:val="right" w:leader="dot" w:pos="9020"/>
            </w:tabs>
          </w:pPr>
          <w:r>
            <w:fldChar w:fldCharType="begin"/>
          </w:r>
          <w:r>
            <w:instrText xml:space="preserve"> HYPERLINK \l _Toc763 </w:instrText>
          </w:r>
          <w:r>
            <w:fldChar w:fldCharType="separate"/>
          </w:r>
          <w:r>
            <w:rPr>
              <w:rFonts w:hint="eastAsia" w:ascii="黑体" w:hAnsi="黑体" w:eastAsia="黑体" w:cs="黑体"/>
              <w:bCs w:val="0"/>
              <w:szCs w:val="32"/>
              <w:lang w:val="en-US" w:eastAsia="zh-CN"/>
            </w:rPr>
            <w:t>5</w:t>
          </w:r>
          <w:r>
            <w:rPr>
              <w:rFonts w:hint="eastAsia" w:ascii="黑体" w:hAnsi="黑体" w:eastAsia="黑体" w:cs="黑体"/>
              <w:bCs w:val="0"/>
              <w:szCs w:val="32"/>
            </w:rPr>
            <w:t>. 术语</w:t>
          </w:r>
          <w:r>
            <w:tab/>
          </w:r>
          <w:r>
            <w:fldChar w:fldCharType="begin"/>
          </w:r>
          <w:r>
            <w:instrText xml:space="preserve"> PAGEREF _Toc763 \h </w:instrText>
          </w:r>
          <w:r>
            <w:fldChar w:fldCharType="separate"/>
          </w:r>
          <w:r>
            <w:t>3</w:t>
          </w:r>
          <w:r>
            <w:fldChar w:fldCharType="end"/>
          </w:r>
          <w:r>
            <w:fldChar w:fldCharType="end"/>
          </w:r>
        </w:p>
        <w:p w14:paraId="11CDBE4D">
          <w:pPr>
            <w:pStyle w:val="11"/>
            <w:tabs>
              <w:tab w:val="right" w:leader="dot" w:pos="9020"/>
            </w:tabs>
          </w:pPr>
          <w:r>
            <w:fldChar w:fldCharType="begin"/>
          </w:r>
          <w:r>
            <w:instrText xml:space="preserve"> HYPERLINK \l _Toc8039 </w:instrText>
          </w:r>
          <w:r>
            <w:fldChar w:fldCharType="separate"/>
          </w:r>
          <w:r>
            <w:rPr>
              <w:rFonts w:hint="eastAsia" w:ascii="黑体" w:hAnsi="黑体" w:eastAsia="黑体" w:cs="黑体"/>
              <w:bCs w:val="0"/>
              <w:szCs w:val="32"/>
              <w:lang w:val="en-US" w:eastAsia="zh-CN"/>
            </w:rPr>
            <w:t>6</w:t>
          </w:r>
          <w:r>
            <w:rPr>
              <w:rFonts w:hint="eastAsia" w:ascii="黑体" w:hAnsi="黑体" w:eastAsia="黑体" w:cs="黑体"/>
              <w:bCs w:val="0"/>
              <w:szCs w:val="32"/>
            </w:rPr>
            <w:t>. 航空运营人导航数据库质量管理</w:t>
          </w:r>
          <w:r>
            <w:tab/>
          </w:r>
          <w:r>
            <w:fldChar w:fldCharType="begin"/>
          </w:r>
          <w:r>
            <w:instrText xml:space="preserve"> PAGEREF _Toc8039 \h </w:instrText>
          </w:r>
          <w:r>
            <w:fldChar w:fldCharType="separate"/>
          </w:r>
          <w:r>
            <w:t>8</w:t>
          </w:r>
          <w:r>
            <w:fldChar w:fldCharType="end"/>
          </w:r>
          <w:r>
            <w:fldChar w:fldCharType="end"/>
          </w:r>
        </w:p>
        <w:p w14:paraId="26CBB955">
          <w:pPr>
            <w:pStyle w:val="12"/>
            <w:tabs>
              <w:tab w:val="right" w:leader="dot" w:pos="9020"/>
            </w:tabs>
          </w:pPr>
          <w:r>
            <w:fldChar w:fldCharType="begin"/>
          </w:r>
          <w:r>
            <w:instrText xml:space="preserve"> HYPERLINK \l _Toc6076 </w:instrText>
          </w:r>
          <w:r>
            <w:fldChar w:fldCharType="separate"/>
          </w:r>
          <w:r>
            <w:rPr>
              <w:rFonts w:hint="eastAsia" w:ascii="宋体" w:hAnsi="宋体" w:eastAsia="宋体" w:cs="宋体"/>
              <w:bCs w:val="0"/>
              <w:spacing w:val="-4"/>
              <w:szCs w:val="32"/>
              <w:lang w:val="en-US" w:eastAsia="zh-CN"/>
            </w:rPr>
            <w:t>6</w:t>
          </w:r>
          <w:r>
            <w:rPr>
              <w:rFonts w:hint="eastAsia" w:ascii="宋体" w:hAnsi="宋体" w:eastAsia="宋体" w:cs="宋体"/>
              <w:bCs w:val="0"/>
              <w:spacing w:val="-4"/>
              <w:szCs w:val="32"/>
            </w:rPr>
            <w:t>.1 组织机构与职责</w:t>
          </w:r>
          <w:r>
            <w:tab/>
          </w:r>
          <w:r>
            <w:fldChar w:fldCharType="begin"/>
          </w:r>
          <w:r>
            <w:instrText xml:space="preserve"> PAGEREF _Toc6076 \h </w:instrText>
          </w:r>
          <w:r>
            <w:fldChar w:fldCharType="separate"/>
          </w:r>
          <w:r>
            <w:t>8</w:t>
          </w:r>
          <w:r>
            <w:fldChar w:fldCharType="end"/>
          </w:r>
          <w:r>
            <w:fldChar w:fldCharType="end"/>
          </w:r>
        </w:p>
        <w:p w14:paraId="66EA490A">
          <w:pPr>
            <w:pStyle w:val="7"/>
            <w:tabs>
              <w:tab w:val="right" w:leader="dot" w:pos="9020"/>
            </w:tabs>
          </w:pPr>
          <w:r>
            <w:fldChar w:fldCharType="begin"/>
          </w:r>
          <w:r>
            <w:instrText xml:space="preserve"> HYPERLINK \l _Toc12388 </w:instrText>
          </w:r>
          <w:r>
            <w:fldChar w:fldCharType="separate"/>
          </w:r>
          <w:r>
            <w:rPr>
              <w:rFonts w:hint="eastAsia" w:ascii="仿宋_GB2312" w:hAnsi="仿宋_GB2312" w:eastAsia="仿宋_GB2312" w:cs="仿宋_GB2312"/>
              <w:lang w:val="en-US" w:eastAsia="zh-CN"/>
            </w:rPr>
            <w:t>6</w:t>
          </w:r>
          <w:r>
            <w:rPr>
              <w:rFonts w:hint="eastAsia" w:ascii="仿宋_GB2312" w:hAnsi="仿宋_GB2312" w:eastAsia="仿宋_GB2312" w:cs="仿宋_GB2312"/>
            </w:rPr>
            <w:t>.1.1 组织机构</w:t>
          </w:r>
          <w:r>
            <w:tab/>
          </w:r>
          <w:r>
            <w:fldChar w:fldCharType="begin"/>
          </w:r>
          <w:r>
            <w:instrText xml:space="preserve"> PAGEREF _Toc12388 \h </w:instrText>
          </w:r>
          <w:r>
            <w:fldChar w:fldCharType="separate"/>
          </w:r>
          <w:r>
            <w:t>8</w:t>
          </w:r>
          <w:r>
            <w:fldChar w:fldCharType="end"/>
          </w:r>
          <w:r>
            <w:fldChar w:fldCharType="end"/>
          </w:r>
        </w:p>
        <w:p w14:paraId="6C4044BC">
          <w:pPr>
            <w:pStyle w:val="7"/>
            <w:tabs>
              <w:tab w:val="right" w:leader="dot" w:pos="9020"/>
            </w:tabs>
          </w:pPr>
          <w:r>
            <w:fldChar w:fldCharType="begin"/>
          </w:r>
          <w:r>
            <w:instrText xml:space="preserve"> HYPERLINK \l _Toc25124 </w:instrText>
          </w:r>
          <w:r>
            <w:fldChar w:fldCharType="separate"/>
          </w:r>
          <w:r>
            <w:rPr>
              <w:rFonts w:hint="eastAsia" w:ascii="仿宋_GB2312" w:hAnsi="仿宋_GB2312" w:eastAsia="仿宋_GB2312" w:cs="仿宋_GB2312"/>
              <w:lang w:val="en-US" w:eastAsia="zh-CN"/>
            </w:rPr>
            <w:t>6</w:t>
          </w:r>
          <w:r>
            <w:rPr>
              <w:rFonts w:hint="eastAsia" w:ascii="仿宋_GB2312" w:hAnsi="仿宋_GB2312" w:eastAsia="仿宋_GB2312" w:cs="仿宋_GB2312"/>
            </w:rPr>
            <w:t>.1.2 职责</w:t>
          </w:r>
          <w:r>
            <w:tab/>
          </w:r>
          <w:r>
            <w:fldChar w:fldCharType="begin"/>
          </w:r>
          <w:r>
            <w:instrText xml:space="preserve"> PAGEREF _Toc25124 \h </w:instrText>
          </w:r>
          <w:r>
            <w:fldChar w:fldCharType="separate"/>
          </w:r>
          <w:r>
            <w:t>8</w:t>
          </w:r>
          <w:r>
            <w:fldChar w:fldCharType="end"/>
          </w:r>
          <w:r>
            <w:fldChar w:fldCharType="end"/>
          </w:r>
        </w:p>
        <w:p w14:paraId="3923FD02">
          <w:pPr>
            <w:pStyle w:val="12"/>
            <w:tabs>
              <w:tab w:val="right" w:leader="dot" w:pos="9020"/>
            </w:tabs>
          </w:pPr>
          <w:r>
            <w:fldChar w:fldCharType="begin"/>
          </w:r>
          <w:r>
            <w:instrText xml:space="preserve"> HYPERLINK \l _Toc6064 </w:instrText>
          </w:r>
          <w:r>
            <w:fldChar w:fldCharType="separate"/>
          </w:r>
          <w:r>
            <w:rPr>
              <w:rFonts w:hint="eastAsia" w:ascii="宋体" w:hAnsi="宋体" w:eastAsia="宋体" w:cs="宋体"/>
              <w:bCs w:val="0"/>
              <w:spacing w:val="-4"/>
              <w:szCs w:val="32"/>
              <w:lang w:val="en-US" w:eastAsia="zh-CN"/>
            </w:rPr>
            <w:t>6</w:t>
          </w:r>
          <w:r>
            <w:rPr>
              <w:rFonts w:hint="eastAsia" w:ascii="宋体" w:hAnsi="宋体" w:eastAsia="宋体" w:cs="宋体"/>
              <w:bCs w:val="0"/>
              <w:spacing w:val="-4"/>
              <w:szCs w:val="32"/>
            </w:rPr>
            <w:t xml:space="preserve">.2 </w:t>
          </w:r>
          <w:r>
            <w:rPr>
              <w:rFonts w:hint="eastAsia" w:ascii="宋体" w:hAnsi="宋体" w:eastAsia="宋体" w:cs="宋体"/>
              <w:b w:val="0"/>
              <w:bCs w:val="0"/>
              <w:spacing w:val="-4"/>
              <w:szCs w:val="32"/>
            </w:rPr>
            <w:t>质量管理程序要求</w:t>
          </w:r>
          <w:r>
            <w:tab/>
          </w:r>
          <w:r>
            <w:fldChar w:fldCharType="begin"/>
          </w:r>
          <w:r>
            <w:instrText xml:space="preserve"> PAGEREF _Toc6064 \h </w:instrText>
          </w:r>
          <w:r>
            <w:fldChar w:fldCharType="separate"/>
          </w:r>
          <w:r>
            <w:t>9</w:t>
          </w:r>
          <w:r>
            <w:fldChar w:fldCharType="end"/>
          </w:r>
          <w:r>
            <w:fldChar w:fldCharType="end"/>
          </w:r>
        </w:p>
        <w:p w14:paraId="40D2A6B0">
          <w:pPr>
            <w:pStyle w:val="7"/>
            <w:tabs>
              <w:tab w:val="right" w:leader="dot" w:pos="9020"/>
            </w:tabs>
          </w:pPr>
          <w:r>
            <w:fldChar w:fldCharType="begin"/>
          </w:r>
          <w:r>
            <w:instrText xml:space="preserve"> HYPERLINK \l _Toc7383 </w:instrText>
          </w:r>
          <w:r>
            <w:fldChar w:fldCharType="separate"/>
          </w:r>
          <w:r>
            <w:rPr>
              <w:rFonts w:hint="eastAsia" w:ascii="仿宋_GB2312" w:hAnsi="仿宋_GB2312" w:eastAsia="仿宋_GB2312" w:cs="仿宋_GB2312"/>
              <w:bCs/>
              <w:spacing w:val="0"/>
              <w:szCs w:val="32"/>
              <w:lang w:val="en-US" w:eastAsia="zh-CN"/>
            </w:rPr>
            <w:t>6</w:t>
          </w:r>
          <w:r>
            <w:rPr>
              <w:rFonts w:hint="eastAsia" w:ascii="仿宋_GB2312" w:hAnsi="仿宋_GB2312" w:eastAsia="仿宋_GB2312" w:cs="仿宋_GB2312"/>
              <w:bCs/>
              <w:spacing w:val="0"/>
              <w:szCs w:val="32"/>
            </w:rPr>
            <w:t>.2.1 导航数据库数据质量要求</w:t>
          </w:r>
          <w:r>
            <w:tab/>
          </w:r>
          <w:r>
            <w:fldChar w:fldCharType="begin"/>
          </w:r>
          <w:r>
            <w:instrText xml:space="preserve"> PAGEREF _Toc7383 \h </w:instrText>
          </w:r>
          <w:r>
            <w:fldChar w:fldCharType="separate"/>
          </w:r>
          <w:r>
            <w:t>9</w:t>
          </w:r>
          <w:r>
            <w:fldChar w:fldCharType="end"/>
          </w:r>
          <w:r>
            <w:fldChar w:fldCharType="end"/>
          </w:r>
        </w:p>
        <w:p w14:paraId="5D779114">
          <w:pPr>
            <w:pStyle w:val="7"/>
            <w:tabs>
              <w:tab w:val="right" w:leader="dot" w:pos="9020"/>
            </w:tabs>
          </w:pPr>
          <w:r>
            <w:fldChar w:fldCharType="begin"/>
          </w:r>
          <w:r>
            <w:instrText xml:space="preserve"> HYPERLINK \l _Toc18796 </w:instrText>
          </w:r>
          <w:r>
            <w:fldChar w:fldCharType="separate"/>
          </w:r>
          <w:r>
            <w:rPr>
              <w:rFonts w:hint="eastAsia" w:ascii="仿宋_GB2312" w:hAnsi="仿宋_GB2312" w:eastAsia="仿宋_GB2312" w:cs="仿宋_GB2312"/>
              <w:bCs/>
              <w:spacing w:val="0"/>
              <w:szCs w:val="32"/>
              <w:lang w:val="en-US" w:eastAsia="zh-CN"/>
            </w:rPr>
            <w:t>6</w:t>
          </w:r>
          <w:r>
            <w:rPr>
              <w:rFonts w:hint="eastAsia" w:ascii="仿宋_GB2312" w:hAnsi="仿宋_GB2312" w:eastAsia="仿宋_GB2312" w:cs="仿宋_GB2312"/>
              <w:bCs/>
              <w:spacing w:val="0"/>
              <w:szCs w:val="32"/>
            </w:rPr>
            <w:t>.2.2 数据供应商管理</w:t>
          </w:r>
          <w:r>
            <w:tab/>
          </w:r>
          <w:r>
            <w:fldChar w:fldCharType="begin"/>
          </w:r>
          <w:r>
            <w:instrText xml:space="preserve"> PAGEREF _Toc18796 \h </w:instrText>
          </w:r>
          <w:r>
            <w:fldChar w:fldCharType="separate"/>
          </w:r>
          <w:r>
            <w:t>10</w:t>
          </w:r>
          <w:r>
            <w:fldChar w:fldCharType="end"/>
          </w:r>
          <w:r>
            <w:fldChar w:fldCharType="end"/>
          </w:r>
        </w:p>
        <w:p w14:paraId="276F6F67">
          <w:pPr>
            <w:pStyle w:val="7"/>
            <w:tabs>
              <w:tab w:val="right" w:leader="dot" w:pos="9020"/>
            </w:tabs>
          </w:pPr>
          <w:r>
            <w:fldChar w:fldCharType="begin"/>
          </w:r>
          <w:r>
            <w:instrText xml:space="preserve"> HYPERLINK \l _Toc18240 </w:instrText>
          </w:r>
          <w:r>
            <w:fldChar w:fldCharType="separate"/>
          </w:r>
          <w:r>
            <w:rPr>
              <w:rFonts w:hint="eastAsia" w:ascii="仿宋_GB2312" w:hAnsi="仿宋_GB2312" w:eastAsia="仿宋_GB2312" w:cs="仿宋_GB2312"/>
              <w:bCs/>
              <w:spacing w:val="0"/>
              <w:szCs w:val="32"/>
              <w:lang w:val="en-US" w:eastAsia="zh-CN"/>
            </w:rPr>
            <w:t>6</w:t>
          </w:r>
          <w:r>
            <w:rPr>
              <w:rFonts w:hint="eastAsia" w:ascii="仿宋_GB2312" w:hAnsi="仿宋_GB2312" w:eastAsia="仿宋_GB2312" w:cs="仿宋_GB2312"/>
              <w:bCs/>
              <w:spacing w:val="0"/>
              <w:szCs w:val="32"/>
            </w:rPr>
            <w:t>.2.3 导航数据库软硬件管理</w:t>
          </w:r>
          <w:r>
            <w:tab/>
          </w:r>
          <w:r>
            <w:fldChar w:fldCharType="begin"/>
          </w:r>
          <w:r>
            <w:instrText xml:space="preserve"> PAGEREF _Toc18240 \h </w:instrText>
          </w:r>
          <w:r>
            <w:fldChar w:fldCharType="separate"/>
          </w:r>
          <w:r>
            <w:t>11</w:t>
          </w:r>
          <w:r>
            <w:fldChar w:fldCharType="end"/>
          </w:r>
          <w:r>
            <w:fldChar w:fldCharType="end"/>
          </w:r>
        </w:p>
        <w:p w14:paraId="40A7FD48">
          <w:pPr>
            <w:pStyle w:val="7"/>
            <w:tabs>
              <w:tab w:val="right" w:leader="dot" w:pos="9020"/>
            </w:tabs>
          </w:pPr>
          <w:r>
            <w:fldChar w:fldCharType="begin"/>
          </w:r>
          <w:r>
            <w:instrText xml:space="preserve"> HYPERLINK \l _Toc23550 </w:instrText>
          </w:r>
          <w:r>
            <w:fldChar w:fldCharType="separate"/>
          </w:r>
          <w:r>
            <w:rPr>
              <w:rFonts w:hint="eastAsia" w:ascii="仿宋_GB2312" w:hAnsi="仿宋_GB2312" w:eastAsia="仿宋_GB2312" w:cs="仿宋_GB2312"/>
              <w:bCs/>
              <w:spacing w:val="0"/>
              <w:szCs w:val="32"/>
              <w:lang w:val="en-US" w:eastAsia="zh-CN"/>
            </w:rPr>
            <w:t>6</w:t>
          </w:r>
          <w:r>
            <w:rPr>
              <w:rFonts w:hint="eastAsia" w:ascii="仿宋_GB2312" w:hAnsi="仿宋_GB2312" w:eastAsia="仿宋_GB2312" w:cs="仿宋_GB2312"/>
              <w:bCs/>
              <w:spacing w:val="0"/>
              <w:szCs w:val="32"/>
            </w:rPr>
            <w:t>.2.4 工作程序管理</w:t>
          </w:r>
          <w:r>
            <w:tab/>
          </w:r>
          <w:r>
            <w:fldChar w:fldCharType="begin"/>
          </w:r>
          <w:r>
            <w:instrText xml:space="preserve"> PAGEREF _Toc23550 \h </w:instrText>
          </w:r>
          <w:r>
            <w:fldChar w:fldCharType="separate"/>
          </w:r>
          <w:r>
            <w:t>12</w:t>
          </w:r>
          <w:r>
            <w:fldChar w:fldCharType="end"/>
          </w:r>
          <w:r>
            <w:fldChar w:fldCharType="end"/>
          </w:r>
        </w:p>
        <w:p w14:paraId="14FF5A69">
          <w:pPr>
            <w:pStyle w:val="7"/>
            <w:tabs>
              <w:tab w:val="right" w:leader="dot" w:pos="9020"/>
            </w:tabs>
          </w:pPr>
          <w:r>
            <w:fldChar w:fldCharType="begin"/>
          </w:r>
          <w:r>
            <w:instrText xml:space="preserve"> HYPERLINK \l _Toc26689 </w:instrText>
          </w:r>
          <w:r>
            <w:fldChar w:fldCharType="separate"/>
          </w:r>
          <w:r>
            <w:rPr>
              <w:rFonts w:hint="eastAsia" w:ascii="仿宋_GB2312" w:hAnsi="仿宋_GB2312" w:eastAsia="仿宋_GB2312" w:cs="仿宋_GB2312"/>
              <w:bCs/>
              <w:spacing w:val="0"/>
              <w:szCs w:val="32"/>
              <w:lang w:val="en-US" w:eastAsia="zh-CN"/>
            </w:rPr>
            <w:t>6</w:t>
          </w:r>
          <w:r>
            <w:rPr>
              <w:rFonts w:hint="eastAsia" w:ascii="仿宋_GB2312" w:hAnsi="仿宋_GB2312" w:eastAsia="仿宋_GB2312" w:cs="仿宋_GB2312"/>
              <w:bCs/>
              <w:spacing w:val="0"/>
              <w:szCs w:val="32"/>
            </w:rPr>
            <w:t>.2.5 人员能力管理</w:t>
          </w:r>
          <w:r>
            <w:tab/>
          </w:r>
          <w:r>
            <w:fldChar w:fldCharType="begin"/>
          </w:r>
          <w:r>
            <w:instrText xml:space="preserve"> PAGEREF _Toc26689 \h </w:instrText>
          </w:r>
          <w:r>
            <w:fldChar w:fldCharType="separate"/>
          </w:r>
          <w:r>
            <w:t>12</w:t>
          </w:r>
          <w:r>
            <w:fldChar w:fldCharType="end"/>
          </w:r>
          <w:r>
            <w:fldChar w:fldCharType="end"/>
          </w:r>
        </w:p>
        <w:p w14:paraId="458DCBFD">
          <w:pPr>
            <w:pStyle w:val="7"/>
            <w:tabs>
              <w:tab w:val="right" w:leader="dot" w:pos="9020"/>
            </w:tabs>
          </w:pPr>
          <w:r>
            <w:fldChar w:fldCharType="begin"/>
          </w:r>
          <w:r>
            <w:instrText xml:space="preserve"> HYPERLINK \l _Toc17522 </w:instrText>
          </w:r>
          <w:r>
            <w:fldChar w:fldCharType="separate"/>
          </w:r>
          <w:r>
            <w:rPr>
              <w:rFonts w:hint="eastAsia" w:ascii="仿宋_GB2312" w:hAnsi="仿宋_GB2312" w:eastAsia="仿宋_GB2312" w:cs="仿宋_GB2312"/>
              <w:bCs/>
              <w:spacing w:val="0"/>
              <w:szCs w:val="32"/>
              <w:lang w:val="en-US" w:eastAsia="zh-CN"/>
            </w:rPr>
            <w:t>6</w:t>
          </w:r>
          <w:r>
            <w:rPr>
              <w:rFonts w:hint="eastAsia" w:ascii="仿宋_GB2312" w:hAnsi="仿宋_GB2312" w:eastAsia="仿宋_GB2312" w:cs="仿宋_GB2312"/>
              <w:bCs/>
              <w:spacing w:val="0"/>
              <w:szCs w:val="32"/>
            </w:rPr>
            <w:t>.2.6 文件管理</w:t>
          </w:r>
          <w:r>
            <w:tab/>
          </w:r>
          <w:r>
            <w:fldChar w:fldCharType="begin"/>
          </w:r>
          <w:r>
            <w:instrText xml:space="preserve"> PAGEREF _Toc17522 \h </w:instrText>
          </w:r>
          <w:r>
            <w:fldChar w:fldCharType="separate"/>
          </w:r>
          <w:r>
            <w:t>13</w:t>
          </w:r>
          <w:r>
            <w:fldChar w:fldCharType="end"/>
          </w:r>
          <w:r>
            <w:fldChar w:fldCharType="end"/>
          </w:r>
        </w:p>
        <w:p w14:paraId="0F53F676">
          <w:pPr>
            <w:pStyle w:val="7"/>
            <w:tabs>
              <w:tab w:val="right" w:leader="dot" w:pos="9020"/>
            </w:tabs>
          </w:pPr>
          <w:r>
            <w:fldChar w:fldCharType="begin"/>
          </w:r>
          <w:r>
            <w:instrText xml:space="preserve"> HYPERLINK \l _Toc19366 </w:instrText>
          </w:r>
          <w:r>
            <w:fldChar w:fldCharType="separate"/>
          </w:r>
          <w:r>
            <w:rPr>
              <w:rFonts w:hint="eastAsia" w:ascii="仿宋_GB2312" w:hAnsi="仿宋_GB2312" w:eastAsia="仿宋_GB2312" w:cs="仿宋_GB2312"/>
              <w:bCs/>
              <w:spacing w:val="0"/>
              <w:szCs w:val="32"/>
              <w:lang w:val="en-US" w:eastAsia="zh-CN"/>
            </w:rPr>
            <w:t>6</w:t>
          </w:r>
          <w:r>
            <w:rPr>
              <w:rFonts w:hint="eastAsia" w:ascii="仿宋_GB2312" w:hAnsi="仿宋_GB2312" w:eastAsia="仿宋_GB2312" w:cs="仿宋_GB2312"/>
              <w:bCs/>
              <w:spacing w:val="0"/>
              <w:szCs w:val="32"/>
            </w:rPr>
            <w:t>.2.7 记录管理</w:t>
          </w:r>
          <w:r>
            <w:tab/>
          </w:r>
          <w:r>
            <w:fldChar w:fldCharType="begin"/>
          </w:r>
          <w:r>
            <w:instrText xml:space="preserve"> PAGEREF _Toc19366 \h </w:instrText>
          </w:r>
          <w:r>
            <w:fldChar w:fldCharType="separate"/>
          </w:r>
          <w:r>
            <w:t>14</w:t>
          </w:r>
          <w:r>
            <w:fldChar w:fldCharType="end"/>
          </w:r>
          <w:r>
            <w:fldChar w:fldCharType="end"/>
          </w:r>
        </w:p>
        <w:p w14:paraId="65CB5DAE">
          <w:pPr>
            <w:pStyle w:val="7"/>
            <w:tabs>
              <w:tab w:val="right" w:leader="dot" w:pos="9020"/>
            </w:tabs>
          </w:pPr>
          <w:r>
            <w:fldChar w:fldCharType="begin"/>
          </w:r>
          <w:r>
            <w:instrText xml:space="preserve"> HYPERLINK \l _Toc18082 </w:instrText>
          </w:r>
          <w:r>
            <w:fldChar w:fldCharType="separate"/>
          </w:r>
          <w:r>
            <w:rPr>
              <w:rFonts w:hint="eastAsia" w:ascii="仿宋_GB2312" w:hAnsi="仿宋_GB2312" w:eastAsia="仿宋_GB2312" w:cs="仿宋_GB2312"/>
              <w:bCs/>
              <w:spacing w:val="0"/>
              <w:szCs w:val="32"/>
              <w:lang w:val="en-US" w:eastAsia="zh-CN"/>
            </w:rPr>
            <w:t>6</w:t>
          </w:r>
          <w:r>
            <w:rPr>
              <w:rFonts w:hint="eastAsia" w:ascii="仿宋_GB2312" w:hAnsi="仿宋_GB2312" w:eastAsia="仿宋_GB2312" w:cs="仿宋_GB2312"/>
              <w:bCs/>
              <w:spacing w:val="0"/>
              <w:szCs w:val="32"/>
            </w:rPr>
            <w:t>.2.8 质量管理内部</w:t>
          </w:r>
          <w:r>
            <w:rPr>
              <w:rFonts w:hint="eastAsia" w:ascii="仿宋_GB2312" w:hAnsi="仿宋_GB2312" w:eastAsia="仿宋_GB2312" w:cs="仿宋_GB2312"/>
              <w:bCs/>
              <w:spacing w:val="0"/>
              <w:szCs w:val="32"/>
              <w:lang w:val="en-US" w:eastAsia="zh-CN"/>
            </w:rPr>
            <w:t>审计</w:t>
          </w:r>
          <w:r>
            <w:tab/>
          </w:r>
          <w:r>
            <w:fldChar w:fldCharType="begin"/>
          </w:r>
          <w:r>
            <w:instrText xml:space="preserve"> PAGEREF _Toc18082 \h </w:instrText>
          </w:r>
          <w:r>
            <w:fldChar w:fldCharType="separate"/>
          </w:r>
          <w:r>
            <w:t>14</w:t>
          </w:r>
          <w:r>
            <w:fldChar w:fldCharType="end"/>
          </w:r>
          <w:r>
            <w:fldChar w:fldCharType="end"/>
          </w:r>
        </w:p>
        <w:p w14:paraId="626F142B">
          <w:pPr>
            <w:pStyle w:val="7"/>
            <w:tabs>
              <w:tab w:val="right" w:leader="dot" w:pos="9020"/>
            </w:tabs>
          </w:pPr>
          <w:r>
            <w:fldChar w:fldCharType="begin"/>
          </w:r>
          <w:r>
            <w:instrText xml:space="preserve"> HYPERLINK \l _Toc14360 </w:instrText>
          </w:r>
          <w:r>
            <w:fldChar w:fldCharType="separate"/>
          </w:r>
          <w:r>
            <w:rPr>
              <w:rFonts w:hint="eastAsia" w:ascii="仿宋_GB2312" w:hAnsi="仿宋_GB2312" w:eastAsia="仿宋_GB2312" w:cs="仿宋_GB2312"/>
              <w:bCs/>
              <w:spacing w:val="0"/>
              <w:szCs w:val="32"/>
              <w:lang w:val="en-US" w:eastAsia="zh-CN"/>
            </w:rPr>
            <w:t>6</w:t>
          </w:r>
          <w:r>
            <w:rPr>
              <w:rFonts w:hint="eastAsia" w:ascii="仿宋_GB2312" w:hAnsi="仿宋_GB2312" w:eastAsia="仿宋_GB2312" w:cs="仿宋_GB2312"/>
              <w:bCs/>
              <w:spacing w:val="0"/>
              <w:szCs w:val="32"/>
            </w:rPr>
            <w:t>.2.9 管理评审</w:t>
          </w:r>
          <w:r>
            <w:tab/>
          </w:r>
          <w:r>
            <w:fldChar w:fldCharType="begin"/>
          </w:r>
          <w:r>
            <w:instrText xml:space="preserve"> PAGEREF _Toc14360 \h </w:instrText>
          </w:r>
          <w:r>
            <w:fldChar w:fldCharType="separate"/>
          </w:r>
          <w:r>
            <w:t>15</w:t>
          </w:r>
          <w:r>
            <w:fldChar w:fldCharType="end"/>
          </w:r>
          <w:r>
            <w:fldChar w:fldCharType="end"/>
          </w:r>
        </w:p>
        <w:p w14:paraId="075F91F5">
          <w:pPr>
            <w:pStyle w:val="11"/>
            <w:tabs>
              <w:tab w:val="right" w:leader="dot" w:pos="9020"/>
            </w:tabs>
          </w:pPr>
          <w:r>
            <w:fldChar w:fldCharType="begin"/>
          </w:r>
          <w:r>
            <w:instrText xml:space="preserve"> HYPERLINK \l _Toc16359 </w:instrText>
          </w:r>
          <w:r>
            <w:fldChar w:fldCharType="separate"/>
          </w:r>
          <w:r>
            <w:rPr>
              <w:rFonts w:hint="eastAsia" w:ascii="黑体" w:hAnsi="黑体" w:eastAsia="黑体" w:cs="黑体"/>
              <w:bCs w:val="0"/>
              <w:szCs w:val="32"/>
              <w:lang w:val="en-US" w:eastAsia="zh-CN"/>
            </w:rPr>
            <w:t>7</w:t>
          </w:r>
          <w:r>
            <w:rPr>
              <w:rFonts w:hint="eastAsia" w:ascii="黑体" w:hAnsi="黑体" w:eastAsia="黑体" w:cs="黑体"/>
              <w:bCs w:val="0"/>
              <w:szCs w:val="32"/>
            </w:rPr>
            <w:t>. 导航数据库工作流程</w:t>
          </w:r>
          <w:r>
            <w:tab/>
          </w:r>
          <w:r>
            <w:fldChar w:fldCharType="begin"/>
          </w:r>
          <w:r>
            <w:instrText xml:space="preserve"> PAGEREF _Toc16359 \h </w:instrText>
          </w:r>
          <w:r>
            <w:fldChar w:fldCharType="separate"/>
          </w:r>
          <w:r>
            <w:t>16</w:t>
          </w:r>
          <w:r>
            <w:fldChar w:fldCharType="end"/>
          </w:r>
          <w:r>
            <w:fldChar w:fldCharType="end"/>
          </w:r>
        </w:p>
        <w:p w14:paraId="661C83C5">
          <w:pPr>
            <w:pStyle w:val="12"/>
            <w:tabs>
              <w:tab w:val="right" w:leader="dot" w:pos="9020"/>
            </w:tabs>
          </w:pPr>
          <w:r>
            <w:fldChar w:fldCharType="begin"/>
          </w:r>
          <w:r>
            <w:instrText xml:space="preserve"> HYPERLINK \l _Toc18837 </w:instrText>
          </w:r>
          <w:r>
            <w:fldChar w:fldCharType="separate"/>
          </w:r>
          <w:r>
            <w:rPr>
              <w:rFonts w:hint="eastAsia" w:ascii="宋体" w:hAnsi="宋体" w:eastAsia="宋体" w:cs="宋体"/>
              <w:bCs w:val="0"/>
              <w:spacing w:val="-4"/>
              <w:szCs w:val="32"/>
              <w:lang w:val="en-US" w:eastAsia="zh-CN"/>
            </w:rPr>
            <w:t>7</w:t>
          </w:r>
          <w:r>
            <w:rPr>
              <w:rFonts w:hint="eastAsia" w:ascii="宋体" w:hAnsi="宋体" w:eastAsia="宋体" w:cs="宋体"/>
              <w:bCs w:val="0"/>
              <w:spacing w:val="-4"/>
              <w:szCs w:val="32"/>
            </w:rPr>
            <w:t>.1 一般工作流程</w:t>
          </w:r>
          <w:r>
            <w:tab/>
          </w:r>
          <w:r>
            <w:fldChar w:fldCharType="begin"/>
          </w:r>
          <w:r>
            <w:instrText xml:space="preserve"> PAGEREF _Toc18837 \h </w:instrText>
          </w:r>
          <w:r>
            <w:fldChar w:fldCharType="separate"/>
          </w:r>
          <w:r>
            <w:t>16</w:t>
          </w:r>
          <w:r>
            <w:fldChar w:fldCharType="end"/>
          </w:r>
          <w:r>
            <w:fldChar w:fldCharType="end"/>
          </w:r>
        </w:p>
        <w:p w14:paraId="44185F74">
          <w:pPr>
            <w:pStyle w:val="7"/>
            <w:tabs>
              <w:tab w:val="right" w:leader="dot" w:pos="9020"/>
            </w:tabs>
          </w:pPr>
          <w:r>
            <w:fldChar w:fldCharType="begin"/>
          </w:r>
          <w:r>
            <w:instrText xml:space="preserve"> HYPERLINK \l _Toc26667 </w:instrText>
          </w:r>
          <w:r>
            <w:fldChar w:fldCharType="separate"/>
          </w:r>
          <w:r>
            <w:rPr>
              <w:rFonts w:hint="eastAsia" w:ascii="仿宋_GB2312" w:hAnsi="仿宋_GB2312" w:eastAsia="仿宋_GB2312" w:cs="仿宋_GB2312"/>
              <w:bCs/>
              <w:spacing w:val="0"/>
              <w:szCs w:val="32"/>
              <w:lang w:val="en-US" w:eastAsia="zh-CN"/>
            </w:rPr>
            <w:t>7</w:t>
          </w:r>
          <w:r>
            <w:rPr>
              <w:rFonts w:hint="eastAsia" w:ascii="仿宋_GB2312" w:hAnsi="仿宋_GB2312" w:eastAsia="仿宋_GB2312" w:cs="仿宋_GB2312"/>
              <w:bCs/>
              <w:spacing w:val="0"/>
              <w:szCs w:val="32"/>
            </w:rPr>
            <w:t>.1.1 提交导航数据库需求</w:t>
          </w:r>
          <w:r>
            <w:tab/>
          </w:r>
          <w:r>
            <w:fldChar w:fldCharType="begin"/>
          </w:r>
          <w:r>
            <w:instrText xml:space="preserve"> PAGEREF _Toc26667 \h </w:instrText>
          </w:r>
          <w:r>
            <w:fldChar w:fldCharType="separate"/>
          </w:r>
          <w:r>
            <w:t>17</w:t>
          </w:r>
          <w:r>
            <w:fldChar w:fldCharType="end"/>
          </w:r>
          <w:r>
            <w:fldChar w:fldCharType="end"/>
          </w:r>
        </w:p>
        <w:p w14:paraId="27D37DD3">
          <w:pPr>
            <w:pStyle w:val="7"/>
            <w:tabs>
              <w:tab w:val="right" w:leader="dot" w:pos="9020"/>
            </w:tabs>
          </w:pPr>
          <w:r>
            <w:fldChar w:fldCharType="begin"/>
          </w:r>
          <w:r>
            <w:instrText xml:space="preserve"> HYPERLINK \l _Toc15546 </w:instrText>
          </w:r>
          <w:r>
            <w:fldChar w:fldCharType="separate"/>
          </w:r>
          <w:r>
            <w:rPr>
              <w:rFonts w:hint="eastAsia" w:ascii="仿宋_GB2312" w:hAnsi="仿宋_GB2312" w:eastAsia="仿宋_GB2312" w:cs="仿宋_GB2312"/>
              <w:bCs/>
              <w:spacing w:val="0"/>
              <w:szCs w:val="32"/>
              <w:lang w:val="en-US" w:eastAsia="zh-CN"/>
            </w:rPr>
            <w:t>7</w:t>
          </w:r>
          <w:r>
            <w:rPr>
              <w:rFonts w:hint="eastAsia" w:ascii="仿宋_GB2312" w:hAnsi="仿宋_GB2312" w:eastAsia="仿宋_GB2312" w:cs="仿宋_GB2312"/>
              <w:bCs/>
              <w:spacing w:val="0"/>
              <w:szCs w:val="32"/>
            </w:rPr>
            <w:t>.1.2 接收导航数据库</w:t>
          </w:r>
          <w:r>
            <w:tab/>
          </w:r>
          <w:r>
            <w:fldChar w:fldCharType="begin"/>
          </w:r>
          <w:r>
            <w:instrText xml:space="preserve"> PAGEREF _Toc15546 \h </w:instrText>
          </w:r>
          <w:r>
            <w:fldChar w:fldCharType="separate"/>
          </w:r>
          <w:r>
            <w:t>17</w:t>
          </w:r>
          <w:r>
            <w:fldChar w:fldCharType="end"/>
          </w:r>
          <w:r>
            <w:fldChar w:fldCharType="end"/>
          </w:r>
        </w:p>
        <w:p w14:paraId="5E3F0A8E">
          <w:pPr>
            <w:pStyle w:val="7"/>
            <w:tabs>
              <w:tab w:val="right" w:leader="dot" w:pos="9020"/>
            </w:tabs>
          </w:pPr>
          <w:r>
            <w:fldChar w:fldCharType="begin"/>
          </w:r>
          <w:r>
            <w:instrText xml:space="preserve"> HYPERLINK \l _Toc17542 </w:instrText>
          </w:r>
          <w:r>
            <w:fldChar w:fldCharType="separate"/>
          </w:r>
          <w:r>
            <w:rPr>
              <w:rFonts w:hint="eastAsia" w:ascii="仿宋_GB2312" w:hAnsi="仿宋_GB2312" w:eastAsia="仿宋_GB2312" w:cs="仿宋_GB2312"/>
              <w:bCs/>
              <w:spacing w:val="0"/>
              <w:szCs w:val="32"/>
              <w:lang w:val="en-US" w:eastAsia="zh-CN"/>
            </w:rPr>
            <w:t>7</w:t>
          </w:r>
          <w:r>
            <w:rPr>
              <w:rFonts w:hint="eastAsia" w:ascii="仿宋_GB2312" w:hAnsi="仿宋_GB2312" w:eastAsia="仿宋_GB2312" w:cs="仿宋_GB2312"/>
              <w:bCs/>
              <w:spacing w:val="0"/>
              <w:szCs w:val="32"/>
            </w:rPr>
            <w:t>.1.3 导航数据质量检查</w:t>
          </w:r>
          <w:r>
            <w:tab/>
          </w:r>
          <w:r>
            <w:fldChar w:fldCharType="begin"/>
          </w:r>
          <w:r>
            <w:instrText xml:space="preserve"> PAGEREF _Toc17542 \h </w:instrText>
          </w:r>
          <w:r>
            <w:fldChar w:fldCharType="separate"/>
          </w:r>
          <w:r>
            <w:t>18</w:t>
          </w:r>
          <w:r>
            <w:fldChar w:fldCharType="end"/>
          </w:r>
          <w:r>
            <w:fldChar w:fldCharType="end"/>
          </w:r>
        </w:p>
        <w:p w14:paraId="18D941D8">
          <w:pPr>
            <w:pStyle w:val="7"/>
            <w:tabs>
              <w:tab w:val="right" w:leader="dot" w:pos="9020"/>
            </w:tabs>
          </w:pPr>
          <w:r>
            <w:fldChar w:fldCharType="begin"/>
          </w:r>
          <w:r>
            <w:instrText xml:space="preserve"> HYPERLINK \l _Toc6506 </w:instrText>
          </w:r>
          <w:r>
            <w:fldChar w:fldCharType="separate"/>
          </w:r>
          <w:r>
            <w:rPr>
              <w:rFonts w:hint="eastAsia" w:ascii="仿宋_GB2312" w:hAnsi="仿宋_GB2312" w:eastAsia="仿宋_GB2312" w:cs="仿宋_GB2312"/>
              <w:bCs/>
              <w:spacing w:val="0"/>
              <w:szCs w:val="32"/>
              <w:lang w:val="en-US" w:eastAsia="zh-CN"/>
            </w:rPr>
            <w:t>7</w:t>
          </w:r>
          <w:r>
            <w:rPr>
              <w:rFonts w:hint="eastAsia" w:ascii="仿宋_GB2312" w:hAnsi="仿宋_GB2312" w:eastAsia="仿宋_GB2312" w:cs="仿宋_GB2312"/>
              <w:bCs/>
              <w:spacing w:val="0"/>
              <w:szCs w:val="32"/>
            </w:rPr>
            <w:t>.1.4 导航数据库装载</w:t>
          </w:r>
          <w:r>
            <w:tab/>
          </w:r>
          <w:r>
            <w:fldChar w:fldCharType="begin"/>
          </w:r>
          <w:r>
            <w:instrText xml:space="preserve"> PAGEREF _Toc6506 \h </w:instrText>
          </w:r>
          <w:r>
            <w:fldChar w:fldCharType="separate"/>
          </w:r>
          <w:r>
            <w:t>19</w:t>
          </w:r>
          <w:r>
            <w:fldChar w:fldCharType="end"/>
          </w:r>
          <w:r>
            <w:fldChar w:fldCharType="end"/>
          </w:r>
        </w:p>
        <w:p w14:paraId="37F682E1">
          <w:pPr>
            <w:pStyle w:val="7"/>
            <w:tabs>
              <w:tab w:val="right" w:leader="dot" w:pos="9020"/>
            </w:tabs>
          </w:pPr>
          <w:r>
            <w:fldChar w:fldCharType="begin"/>
          </w:r>
          <w:r>
            <w:instrText xml:space="preserve"> HYPERLINK \l _Toc8146 </w:instrText>
          </w:r>
          <w:r>
            <w:fldChar w:fldCharType="separate"/>
          </w:r>
          <w:r>
            <w:rPr>
              <w:rFonts w:hint="eastAsia" w:ascii="仿宋_GB2312" w:hAnsi="仿宋_GB2312" w:eastAsia="仿宋_GB2312" w:cs="仿宋_GB2312"/>
              <w:bCs/>
              <w:spacing w:val="0"/>
              <w:szCs w:val="32"/>
              <w:lang w:val="en-US" w:eastAsia="zh-CN"/>
            </w:rPr>
            <w:t>7</w:t>
          </w:r>
          <w:r>
            <w:rPr>
              <w:rFonts w:hint="eastAsia" w:ascii="仿宋_GB2312" w:hAnsi="仿宋_GB2312" w:eastAsia="仿宋_GB2312" w:cs="仿宋_GB2312"/>
              <w:bCs/>
              <w:spacing w:val="0"/>
              <w:szCs w:val="32"/>
            </w:rPr>
            <w:t>.1.5 飞行机组使用</w:t>
          </w:r>
          <w:r>
            <w:tab/>
          </w:r>
          <w:r>
            <w:fldChar w:fldCharType="begin"/>
          </w:r>
          <w:r>
            <w:instrText xml:space="preserve"> PAGEREF _Toc8146 \h </w:instrText>
          </w:r>
          <w:r>
            <w:fldChar w:fldCharType="separate"/>
          </w:r>
          <w:r>
            <w:t>20</w:t>
          </w:r>
          <w:r>
            <w:fldChar w:fldCharType="end"/>
          </w:r>
          <w:r>
            <w:fldChar w:fldCharType="end"/>
          </w:r>
        </w:p>
        <w:p w14:paraId="12CCC6B0">
          <w:pPr>
            <w:pStyle w:val="7"/>
            <w:tabs>
              <w:tab w:val="right" w:leader="dot" w:pos="9020"/>
            </w:tabs>
          </w:pPr>
          <w:r>
            <w:fldChar w:fldCharType="begin"/>
          </w:r>
          <w:r>
            <w:instrText xml:space="preserve"> HYPERLINK \l _Toc24466 </w:instrText>
          </w:r>
          <w:r>
            <w:fldChar w:fldCharType="separate"/>
          </w:r>
          <w:r>
            <w:rPr>
              <w:rFonts w:hint="eastAsia" w:ascii="仿宋_GB2312" w:hAnsi="仿宋_GB2312" w:eastAsia="仿宋_GB2312" w:cs="仿宋_GB2312"/>
              <w:bCs/>
              <w:spacing w:val="0"/>
              <w:szCs w:val="32"/>
              <w:lang w:val="en-US" w:eastAsia="zh-CN"/>
            </w:rPr>
            <w:t>7</w:t>
          </w:r>
          <w:r>
            <w:rPr>
              <w:rFonts w:hint="eastAsia" w:ascii="仿宋_GB2312" w:hAnsi="仿宋_GB2312" w:eastAsia="仿宋_GB2312" w:cs="仿宋_GB2312"/>
              <w:bCs/>
              <w:spacing w:val="0"/>
              <w:szCs w:val="32"/>
            </w:rPr>
            <w:t>.1.6 导航数据库监控和报告</w:t>
          </w:r>
          <w:r>
            <w:tab/>
          </w:r>
          <w:r>
            <w:fldChar w:fldCharType="begin"/>
          </w:r>
          <w:r>
            <w:instrText xml:space="preserve"> PAGEREF _Toc24466 \h </w:instrText>
          </w:r>
          <w:r>
            <w:fldChar w:fldCharType="separate"/>
          </w:r>
          <w:r>
            <w:t>21</w:t>
          </w:r>
          <w:r>
            <w:fldChar w:fldCharType="end"/>
          </w:r>
          <w:r>
            <w:fldChar w:fldCharType="end"/>
          </w:r>
        </w:p>
        <w:p w14:paraId="52AC5B09">
          <w:pPr>
            <w:pStyle w:val="7"/>
            <w:tabs>
              <w:tab w:val="right" w:leader="dot" w:pos="9020"/>
            </w:tabs>
          </w:pPr>
          <w:r>
            <w:fldChar w:fldCharType="begin"/>
          </w:r>
          <w:r>
            <w:instrText xml:space="preserve"> HYPERLINK \l _Toc16602 </w:instrText>
          </w:r>
          <w:r>
            <w:fldChar w:fldCharType="separate"/>
          </w:r>
          <w:r>
            <w:rPr>
              <w:rFonts w:hint="eastAsia" w:ascii="仿宋_GB2312" w:hAnsi="仿宋_GB2312" w:eastAsia="仿宋_GB2312" w:cs="仿宋_GB2312"/>
              <w:bCs/>
              <w:spacing w:val="0"/>
              <w:szCs w:val="32"/>
              <w:lang w:val="en-US" w:eastAsia="zh-CN"/>
            </w:rPr>
            <w:t>7</w:t>
          </w:r>
          <w:r>
            <w:rPr>
              <w:rFonts w:hint="eastAsia" w:ascii="仿宋_GB2312" w:hAnsi="仿宋_GB2312" w:eastAsia="仿宋_GB2312" w:cs="仿宋_GB2312"/>
              <w:bCs/>
              <w:spacing w:val="0"/>
              <w:szCs w:val="32"/>
            </w:rPr>
            <w:t>.1.7 记录要求</w:t>
          </w:r>
          <w:r>
            <w:tab/>
          </w:r>
          <w:r>
            <w:fldChar w:fldCharType="begin"/>
          </w:r>
          <w:r>
            <w:instrText xml:space="preserve"> PAGEREF _Toc16602 \h </w:instrText>
          </w:r>
          <w:r>
            <w:fldChar w:fldCharType="separate"/>
          </w:r>
          <w:r>
            <w:t>22</w:t>
          </w:r>
          <w:r>
            <w:fldChar w:fldCharType="end"/>
          </w:r>
          <w:r>
            <w:fldChar w:fldCharType="end"/>
          </w:r>
        </w:p>
        <w:p w14:paraId="7DBE914F">
          <w:pPr>
            <w:pStyle w:val="12"/>
            <w:tabs>
              <w:tab w:val="right" w:leader="dot" w:pos="9020"/>
            </w:tabs>
          </w:pPr>
          <w:r>
            <w:fldChar w:fldCharType="begin"/>
          </w:r>
          <w:r>
            <w:instrText xml:space="preserve"> HYPERLINK \l _Toc12054 </w:instrText>
          </w:r>
          <w:r>
            <w:fldChar w:fldCharType="separate"/>
          </w:r>
          <w:r>
            <w:rPr>
              <w:rFonts w:hint="eastAsia" w:ascii="宋体" w:hAnsi="宋体" w:eastAsia="宋体" w:cs="宋体"/>
              <w:bCs w:val="0"/>
              <w:spacing w:val="-4"/>
              <w:szCs w:val="32"/>
              <w:lang w:val="en-US" w:eastAsia="zh-CN"/>
            </w:rPr>
            <w:t>7</w:t>
          </w:r>
          <w:r>
            <w:rPr>
              <w:rFonts w:hint="eastAsia" w:ascii="宋体" w:hAnsi="宋体" w:eastAsia="宋体" w:cs="宋体"/>
              <w:bCs w:val="0"/>
              <w:spacing w:val="-4"/>
              <w:szCs w:val="32"/>
            </w:rPr>
            <w:t>.2 特殊工作流程—飞行程序验证导航数据库管理</w:t>
          </w:r>
          <w:r>
            <w:tab/>
          </w:r>
          <w:r>
            <w:fldChar w:fldCharType="begin"/>
          </w:r>
          <w:r>
            <w:instrText xml:space="preserve"> PAGEREF _Toc12054 \h </w:instrText>
          </w:r>
          <w:r>
            <w:fldChar w:fldCharType="separate"/>
          </w:r>
          <w:r>
            <w:t>22</w:t>
          </w:r>
          <w:r>
            <w:fldChar w:fldCharType="end"/>
          </w:r>
          <w:r>
            <w:fldChar w:fldCharType="end"/>
          </w:r>
        </w:p>
        <w:p w14:paraId="00F442F1">
          <w:pPr>
            <w:pStyle w:val="7"/>
            <w:tabs>
              <w:tab w:val="right" w:leader="dot" w:pos="9020"/>
            </w:tabs>
          </w:pPr>
          <w:r>
            <w:fldChar w:fldCharType="begin"/>
          </w:r>
          <w:r>
            <w:instrText xml:space="preserve"> HYPERLINK \l _Toc4885 </w:instrText>
          </w:r>
          <w:r>
            <w:fldChar w:fldCharType="separate"/>
          </w:r>
          <w:r>
            <w:rPr>
              <w:rFonts w:hint="eastAsia" w:ascii="仿宋_GB2312" w:hAnsi="仿宋_GB2312" w:eastAsia="仿宋_GB2312" w:cs="仿宋_GB2312"/>
              <w:szCs w:val="32"/>
              <w:lang w:eastAsia="zh-CN"/>
            </w:rPr>
            <w:t>7</w:t>
          </w:r>
          <w:r>
            <w:rPr>
              <w:rFonts w:hint="eastAsia" w:ascii="仿宋_GB2312" w:hAnsi="仿宋_GB2312" w:eastAsia="仿宋_GB2312" w:cs="仿宋_GB2312"/>
              <w:szCs w:val="32"/>
              <w:lang w:val="en-US" w:eastAsia="zh-CN"/>
            </w:rPr>
            <w:t>.2.1</w:t>
          </w:r>
          <w:r>
            <w:rPr>
              <w:rFonts w:hint="eastAsia" w:ascii="仿宋_GB2312" w:hAnsi="仿宋_GB2312" w:eastAsia="仿宋_GB2312" w:cs="仿宋_GB2312"/>
              <w:szCs w:val="32"/>
            </w:rPr>
            <w:t>导航数据库编码资料获取</w:t>
          </w:r>
          <w:r>
            <w:tab/>
          </w:r>
          <w:r>
            <w:fldChar w:fldCharType="begin"/>
          </w:r>
          <w:r>
            <w:instrText xml:space="preserve"> PAGEREF _Toc4885 \h </w:instrText>
          </w:r>
          <w:r>
            <w:fldChar w:fldCharType="separate"/>
          </w:r>
          <w:r>
            <w:t>23</w:t>
          </w:r>
          <w:r>
            <w:fldChar w:fldCharType="end"/>
          </w:r>
          <w:r>
            <w:fldChar w:fldCharType="end"/>
          </w:r>
        </w:p>
        <w:p w14:paraId="27B4122E">
          <w:pPr>
            <w:pStyle w:val="7"/>
            <w:tabs>
              <w:tab w:val="right" w:leader="dot" w:pos="9020"/>
            </w:tabs>
          </w:pPr>
          <w:r>
            <w:fldChar w:fldCharType="begin"/>
          </w:r>
          <w:r>
            <w:instrText xml:space="preserve"> HYPERLINK \l _Toc27698 </w:instrText>
          </w:r>
          <w:r>
            <w:fldChar w:fldCharType="separate"/>
          </w:r>
          <w:r>
            <w:rPr>
              <w:rFonts w:hint="default" w:ascii="仿宋_GB2312" w:hAnsi="仿宋_GB2312" w:eastAsia="仿宋_GB2312" w:cs="仿宋_GB2312"/>
              <w:szCs w:val="32"/>
              <w:lang w:eastAsia="zh-CN"/>
            </w:rPr>
            <w:t>7</w:t>
          </w:r>
          <w:r>
            <w:rPr>
              <w:rFonts w:hint="default" w:ascii="仿宋_GB2312" w:hAnsi="仿宋_GB2312" w:eastAsia="仿宋_GB2312" w:cs="仿宋_GB2312"/>
              <w:szCs w:val="32"/>
              <w:lang w:val="en-US" w:eastAsia="zh-CN"/>
            </w:rPr>
            <w:t>.2.2</w:t>
          </w:r>
          <w:r>
            <w:rPr>
              <w:rFonts w:hint="default" w:ascii="仿宋_GB2312" w:hAnsi="仿宋_GB2312" w:eastAsia="仿宋_GB2312" w:cs="仿宋_GB2312"/>
              <w:szCs w:val="32"/>
            </w:rPr>
            <w:t>数据供应商选择</w:t>
          </w:r>
          <w:r>
            <w:tab/>
          </w:r>
          <w:r>
            <w:fldChar w:fldCharType="begin"/>
          </w:r>
          <w:r>
            <w:instrText xml:space="preserve"> PAGEREF _Toc27698 \h </w:instrText>
          </w:r>
          <w:r>
            <w:fldChar w:fldCharType="separate"/>
          </w:r>
          <w:r>
            <w:t>23</w:t>
          </w:r>
          <w:r>
            <w:fldChar w:fldCharType="end"/>
          </w:r>
          <w:r>
            <w:fldChar w:fldCharType="end"/>
          </w:r>
        </w:p>
        <w:p w14:paraId="43C2B275">
          <w:pPr>
            <w:pStyle w:val="7"/>
            <w:tabs>
              <w:tab w:val="right" w:leader="dot" w:pos="9020"/>
            </w:tabs>
          </w:pPr>
          <w:r>
            <w:fldChar w:fldCharType="begin"/>
          </w:r>
          <w:r>
            <w:instrText xml:space="preserve"> HYPERLINK \l _Toc24065 </w:instrText>
          </w:r>
          <w:r>
            <w:fldChar w:fldCharType="separate"/>
          </w:r>
          <w:r>
            <w:rPr>
              <w:rFonts w:hint="default" w:ascii="仿宋_GB2312" w:hAnsi="仿宋_GB2312" w:eastAsia="仿宋_GB2312" w:cs="仿宋_GB2312"/>
              <w:szCs w:val="32"/>
              <w:lang w:eastAsia="zh-CN"/>
            </w:rPr>
            <w:t>7</w:t>
          </w:r>
          <w:r>
            <w:rPr>
              <w:rFonts w:hint="default" w:ascii="仿宋_GB2312" w:hAnsi="仿宋_GB2312" w:eastAsia="仿宋_GB2312" w:cs="仿宋_GB2312"/>
              <w:szCs w:val="32"/>
              <w:lang w:val="en-US" w:eastAsia="zh-CN"/>
            </w:rPr>
            <w:t>.2.3</w:t>
          </w:r>
          <w:r>
            <w:rPr>
              <w:rFonts w:hint="default" w:ascii="仿宋_GB2312" w:hAnsi="仿宋_GB2312" w:eastAsia="仿宋_GB2312" w:cs="仿宋_GB2312"/>
              <w:szCs w:val="32"/>
            </w:rPr>
            <w:t>验证前导航数据库检查</w:t>
          </w:r>
          <w:r>
            <w:tab/>
          </w:r>
          <w:r>
            <w:fldChar w:fldCharType="begin"/>
          </w:r>
          <w:r>
            <w:instrText xml:space="preserve"> PAGEREF _Toc24065 \h </w:instrText>
          </w:r>
          <w:r>
            <w:fldChar w:fldCharType="separate"/>
          </w:r>
          <w:r>
            <w:t>23</w:t>
          </w:r>
          <w:r>
            <w:fldChar w:fldCharType="end"/>
          </w:r>
          <w:r>
            <w:fldChar w:fldCharType="end"/>
          </w:r>
        </w:p>
        <w:p w14:paraId="4F40D2B1">
          <w:pPr>
            <w:pStyle w:val="7"/>
            <w:tabs>
              <w:tab w:val="right" w:leader="dot" w:pos="9020"/>
            </w:tabs>
          </w:pPr>
          <w:r>
            <w:fldChar w:fldCharType="begin"/>
          </w:r>
          <w:r>
            <w:instrText xml:space="preserve"> HYPERLINK \l _Toc11216 </w:instrText>
          </w:r>
          <w:r>
            <w:fldChar w:fldCharType="separate"/>
          </w:r>
          <w:r>
            <w:rPr>
              <w:rFonts w:hint="default" w:ascii="仿宋_GB2312" w:hAnsi="仿宋_GB2312" w:eastAsia="仿宋_GB2312" w:cs="仿宋_GB2312"/>
              <w:spacing w:val="0"/>
              <w:szCs w:val="32"/>
              <w:lang w:eastAsia="zh-CN"/>
            </w:rPr>
            <w:t>7</w:t>
          </w:r>
          <w:r>
            <w:rPr>
              <w:rFonts w:hint="default" w:ascii="仿宋_GB2312" w:hAnsi="仿宋_GB2312" w:eastAsia="仿宋_GB2312" w:cs="仿宋_GB2312"/>
              <w:spacing w:val="0"/>
              <w:szCs w:val="32"/>
              <w:lang w:val="en-US" w:eastAsia="zh-CN"/>
            </w:rPr>
            <w:t>.2.4</w:t>
          </w:r>
          <w:r>
            <w:rPr>
              <w:rFonts w:hint="default" w:ascii="仿宋_GB2312" w:hAnsi="仿宋_GB2312" w:eastAsia="仿宋_GB2312" w:cs="仿宋_GB2312"/>
              <w:spacing w:val="0"/>
              <w:szCs w:val="32"/>
            </w:rPr>
            <w:t>导航数据库修改</w:t>
          </w:r>
          <w:r>
            <w:tab/>
          </w:r>
          <w:r>
            <w:fldChar w:fldCharType="begin"/>
          </w:r>
          <w:r>
            <w:instrText xml:space="preserve"> PAGEREF _Toc11216 \h </w:instrText>
          </w:r>
          <w:r>
            <w:fldChar w:fldCharType="separate"/>
          </w:r>
          <w:r>
            <w:t>24</w:t>
          </w:r>
          <w:r>
            <w:fldChar w:fldCharType="end"/>
          </w:r>
          <w:r>
            <w:fldChar w:fldCharType="end"/>
          </w:r>
        </w:p>
        <w:p w14:paraId="08923854">
          <w:pPr>
            <w:pStyle w:val="11"/>
            <w:tabs>
              <w:tab w:val="right" w:leader="dot" w:pos="9020"/>
            </w:tabs>
          </w:pPr>
          <w:r>
            <w:fldChar w:fldCharType="begin"/>
          </w:r>
          <w:r>
            <w:instrText xml:space="preserve"> HYPERLINK \l _Toc18593 </w:instrText>
          </w:r>
          <w:r>
            <w:fldChar w:fldCharType="separate"/>
          </w:r>
          <w:r>
            <w:rPr>
              <w:rFonts w:hint="eastAsia" w:ascii="黑体" w:hAnsi="黑体" w:eastAsia="黑体" w:cs="黑体"/>
              <w:bCs w:val="0"/>
              <w:szCs w:val="32"/>
              <w:lang w:val="en-US" w:eastAsia="zh-CN"/>
            </w:rPr>
            <w:t>8</w:t>
          </w:r>
          <w:r>
            <w:rPr>
              <w:rFonts w:hint="eastAsia" w:ascii="黑体" w:hAnsi="黑体" w:eastAsia="黑体" w:cs="黑体"/>
              <w:bCs w:val="0"/>
              <w:szCs w:val="32"/>
            </w:rPr>
            <w:t>. 人员培训</w:t>
          </w:r>
          <w:r>
            <w:tab/>
          </w:r>
          <w:r>
            <w:fldChar w:fldCharType="begin"/>
          </w:r>
          <w:r>
            <w:instrText xml:space="preserve"> PAGEREF _Toc18593 \h </w:instrText>
          </w:r>
          <w:r>
            <w:fldChar w:fldCharType="separate"/>
          </w:r>
          <w:r>
            <w:t>25</w:t>
          </w:r>
          <w:r>
            <w:fldChar w:fldCharType="end"/>
          </w:r>
          <w:r>
            <w:fldChar w:fldCharType="end"/>
          </w:r>
        </w:p>
        <w:p w14:paraId="3A3A82BA">
          <w:pPr>
            <w:pStyle w:val="12"/>
            <w:tabs>
              <w:tab w:val="right" w:leader="dot" w:pos="9020"/>
            </w:tabs>
          </w:pPr>
          <w:r>
            <w:fldChar w:fldCharType="begin"/>
          </w:r>
          <w:r>
            <w:instrText xml:space="preserve"> HYPERLINK \l _Toc20386 </w:instrText>
          </w:r>
          <w:r>
            <w:fldChar w:fldCharType="separate"/>
          </w:r>
          <w:r>
            <w:rPr>
              <w:rFonts w:hint="eastAsia" w:ascii="宋体" w:hAnsi="宋体" w:eastAsia="宋体" w:cs="宋体"/>
              <w:bCs w:val="0"/>
              <w:spacing w:val="-4"/>
              <w:szCs w:val="32"/>
              <w:lang w:val="en-US" w:eastAsia="zh-CN"/>
            </w:rPr>
            <w:t>8</w:t>
          </w:r>
          <w:r>
            <w:rPr>
              <w:rFonts w:hint="eastAsia" w:ascii="宋体" w:hAnsi="宋体" w:eastAsia="宋体" w:cs="宋体"/>
              <w:bCs w:val="0"/>
              <w:spacing w:val="-4"/>
              <w:szCs w:val="32"/>
            </w:rPr>
            <w:t>.1 初始培训</w:t>
          </w:r>
          <w:r>
            <w:tab/>
          </w:r>
          <w:r>
            <w:fldChar w:fldCharType="begin"/>
          </w:r>
          <w:r>
            <w:instrText xml:space="preserve"> PAGEREF _Toc20386 \h </w:instrText>
          </w:r>
          <w:r>
            <w:fldChar w:fldCharType="separate"/>
          </w:r>
          <w:r>
            <w:t>25</w:t>
          </w:r>
          <w:r>
            <w:fldChar w:fldCharType="end"/>
          </w:r>
          <w:r>
            <w:fldChar w:fldCharType="end"/>
          </w:r>
        </w:p>
        <w:p w14:paraId="067818A7">
          <w:pPr>
            <w:pStyle w:val="12"/>
            <w:tabs>
              <w:tab w:val="right" w:leader="dot" w:pos="9020"/>
            </w:tabs>
          </w:pPr>
          <w:r>
            <w:fldChar w:fldCharType="begin"/>
          </w:r>
          <w:r>
            <w:instrText xml:space="preserve"> HYPERLINK \l _Toc4527 </w:instrText>
          </w:r>
          <w:r>
            <w:fldChar w:fldCharType="separate"/>
          </w:r>
          <w:r>
            <w:rPr>
              <w:rFonts w:hint="eastAsia" w:ascii="宋体" w:hAnsi="宋体" w:eastAsia="宋体" w:cs="宋体"/>
              <w:bCs w:val="0"/>
              <w:spacing w:val="-4"/>
              <w:szCs w:val="32"/>
              <w:lang w:val="en-US" w:eastAsia="zh-CN"/>
            </w:rPr>
            <w:t>8</w:t>
          </w:r>
          <w:r>
            <w:rPr>
              <w:rFonts w:hint="eastAsia" w:ascii="宋体" w:hAnsi="宋体" w:eastAsia="宋体" w:cs="宋体"/>
              <w:bCs w:val="0"/>
              <w:spacing w:val="-4"/>
              <w:szCs w:val="32"/>
            </w:rPr>
            <w:t>.2 定期复训</w:t>
          </w:r>
          <w:r>
            <w:tab/>
          </w:r>
          <w:r>
            <w:fldChar w:fldCharType="begin"/>
          </w:r>
          <w:r>
            <w:instrText xml:space="preserve"> PAGEREF _Toc4527 \h </w:instrText>
          </w:r>
          <w:r>
            <w:fldChar w:fldCharType="separate"/>
          </w:r>
          <w:r>
            <w:t>26</w:t>
          </w:r>
          <w:r>
            <w:fldChar w:fldCharType="end"/>
          </w:r>
          <w:r>
            <w:fldChar w:fldCharType="end"/>
          </w:r>
        </w:p>
        <w:p w14:paraId="2EF52727">
          <w:pPr>
            <w:pStyle w:val="12"/>
            <w:tabs>
              <w:tab w:val="right" w:leader="dot" w:pos="9020"/>
            </w:tabs>
          </w:pPr>
          <w:r>
            <w:fldChar w:fldCharType="begin"/>
          </w:r>
          <w:r>
            <w:instrText xml:space="preserve"> HYPERLINK \l _Toc14343 </w:instrText>
          </w:r>
          <w:r>
            <w:fldChar w:fldCharType="separate"/>
          </w:r>
          <w:r>
            <w:rPr>
              <w:rFonts w:hint="eastAsia" w:ascii="宋体" w:hAnsi="宋体" w:eastAsia="宋体" w:cs="宋体"/>
              <w:bCs w:val="0"/>
              <w:spacing w:val="-4"/>
              <w:szCs w:val="32"/>
              <w:lang w:eastAsia="zh-CN"/>
            </w:rPr>
            <w:t>8</w:t>
          </w:r>
          <w:r>
            <w:rPr>
              <w:rFonts w:hint="eastAsia" w:ascii="宋体" w:hAnsi="宋体" w:eastAsia="宋体" w:cs="宋体"/>
              <w:bCs w:val="0"/>
              <w:spacing w:val="-4"/>
              <w:szCs w:val="32"/>
            </w:rPr>
            <w:t>.3 重新获得资格训练</w:t>
          </w:r>
          <w:r>
            <w:tab/>
          </w:r>
          <w:r>
            <w:fldChar w:fldCharType="begin"/>
          </w:r>
          <w:r>
            <w:instrText xml:space="preserve"> PAGEREF _Toc14343 \h </w:instrText>
          </w:r>
          <w:r>
            <w:fldChar w:fldCharType="separate"/>
          </w:r>
          <w:r>
            <w:t>27</w:t>
          </w:r>
          <w:r>
            <w:fldChar w:fldCharType="end"/>
          </w:r>
          <w:r>
            <w:fldChar w:fldCharType="end"/>
          </w:r>
        </w:p>
        <w:p w14:paraId="727A4A60">
          <w:pPr>
            <w:pStyle w:val="11"/>
            <w:tabs>
              <w:tab w:val="right" w:leader="dot" w:pos="9020"/>
            </w:tabs>
          </w:pPr>
          <w:r>
            <w:fldChar w:fldCharType="begin"/>
          </w:r>
          <w:r>
            <w:instrText xml:space="preserve"> HYPERLINK \l _Toc27253 </w:instrText>
          </w:r>
          <w:r>
            <w:fldChar w:fldCharType="separate"/>
          </w:r>
          <w:r>
            <w:rPr>
              <w:rFonts w:hint="eastAsia" w:ascii="黑体" w:hAnsi="黑体" w:eastAsia="黑体" w:cs="黑体"/>
              <w:bCs w:val="0"/>
              <w:szCs w:val="32"/>
              <w:lang w:val="en-US" w:eastAsia="zh-CN"/>
            </w:rPr>
            <w:t>9</w:t>
          </w:r>
          <w:r>
            <w:rPr>
              <w:rFonts w:hint="eastAsia" w:ascii="黑体" w:hAnsi="黑体" w:eastAsia="黑体" w:cs="黑体"/>
              <w:bCs w:val="0"/>
              <w:szCs w:val="32"/>
            </w:rPr>
            <w:t>. 运行监督和检查</w:t>
          </w:r>
          <w:r>
            <w:tab/>
          </w:r>
          <w:r>
            <w:fldChar w:fldCharType="begin"/>
          </w:r>
          <w:r>
            <w:instrText xml:space="preserve"> PAGEREF _Toc27253 \h </w:instrText>
          </w:r>
          <w:r>
            <w:fldChar w:fldCharType="separate"/>
          </w:r>
          <w:r>
            <w:t>27</w:t>
          </w:r>
          <w:r>
            <w:fldChar w:fldCharType="end"/>
          </w:r>
          <w:r>
            <w:fldChar w:fldCharType="end"/>
          </w:r>
        </w:p>
        <w:p w14:paraId="0164C141">
          <w:pPr>
            <w:pStyle w:val="11"/>
            <w:tabs>
              <w:tab w:val="right" w:leader="dot" w:pos="9020"/>
            </w:tabs>
          </w:pPr>
          <w:r>
            <w:fldChar w:fldCharType="begin"/>
          </w:r>
          <w:r>
            <w:instrText xml:space="preserve"> HYPERLINK \l _Toc25080 </w:instrText>
          </w:r>
          <w:r>
            <w:fldChar w:fldCharType="separate"/>
          </w:r>
          <w:r>
            <w:rPr>
              <w:rFonts w:hint="eastAsia" w:ascii="黑体" w:hAnsi="黑体" w:eastAsia="黑体" w:cs="黑体"/>
              <w:bCs w:val="0"/>
              <w:szCs w:val="32"/>
              <w:lang w:val="en-US" w:eastAsia="zh-CN"/>
            </w:rPr>
            <w:t>10</w:t>
          </w:r>
          <w:r>
            <w:rPr>
              <w:rFonts w:hint="eastAsia" w:ascii="黑体" w:hAnsi="黑体" w:eastAsia="黑体" w:cs="黑体"/>
              <w:bCs w:val="0"/>
              <w:szCs w:val="32"/>
            </w:rPr>
            <w:t>. 生效与废止</w:t>
          </w:r>
          <w:r>
            <w:tab/>
          </w:r>
          <w:r>
            <w:fldChar w:fldCharType="begin"/>
          </w:r>
          <w:r>
            <w:instrText xml:space="preserve"> PAGEREF _Toc25080 \h </w:instrText>
          </w:r>
          <w:r>
            <w:fldChar w:fldCharType="separate"/>
          </w:r>
          <w:r>
            <w:t>28</w:t>
          </w:r>
          <w:r>
            <w:fldChar w:fldCharType="end"/>
          </w:r>
          <w:r>
            <w:fldChar w:fldCharType="end"/>
          </w:r>
        </w:p>
        <w:p w14:paraId="4059B148">
          <w:pPr>
            <w:tabs>
              <w:tab w:val="left" w:pos="8580"/>
            </w:tabs>
            <w:ind w:right="440" w:rightChars="200"/>
          </w:pPr>
          <w:r>
            <w:fldChar w:fldCharType="end"/>
          </w:r>
        </w:p>
      </w:sdtContent>
    </w:sdt>
    <w:p w14:paraId="003FD51C">
      <w:pPr>
        <w:tabs>
          <w:tab w:val="left" w:pos="8580"/>
        </w:tabs>
        <w:spacing w:line="563" w:lineRule="exact"/>
        <w:ind w:right="440" w:rightChars="200" w:firstLine="704" w:firstLineChars="160"/>
        <w:jc w:val="center"/>
        <w:rPr>
          <w:rFonts w:ascii="黑体" w:hAnsi="黑体" w:eastAsia="黑体" w:cs="Times New Roman"/>
          <w:b/>
          <w:color w:val="auto"/>
          <w:spacing w:val="-1"/>
          <w:sz w:val="44"/>
          <w:szCs w:val="44"/>
        </w:rPr>
        <w:sectPr>
          <w:footerReference r:id="rId6" w:type="default"/>
          <w:footerReference r:id="rId7" w:type="even"/>
          <w:pgSz w:w="11910" w:h="16840"/>
          <w:pgMar w:top="1840" w:right="1350" w:bottom="1460" w:left="1540" w:header="0" w:footer="1260" w:gutter="0"/>
          <w:cols w:space="720" w:num="1"/>
        </w:sectPr>
      </w:pPr>
    </w:p>
    <w:p w14:paraId="16B65241">
      <w:pPr>
        <w:tabs>
          <w:tab w:val="left" w:pos="8580"/>
        </w:tabs>
        <w:spacing w:line="563" w:lineRule="exact"/>
        <w:ind w:right="440" w:rightChars="200" w:firstLine="704" w:firstLineChars="160"/>
        <w:jc w:val="center"/>
        <w:rPr>
          <w:rFonts w:ascii="黑体" w:hAnsi="黑体" w:eastAsia="黑体" w:cs="Times New Roman"/>
          <w:b/>
          <w:color w:val="auto"/>
          <w:spacing w:val="-1"/>
          <w:sz w:val="44"/>
          <w:szCs w:val="44"/>
        </w:rPr>
      </w:pPr>
      <w:r>
        <w:rPr>
          <w:rFonts w:ascii="黑体" w:hAnsi="黑体" w:eastAsia="黑体" w:cs="Times New Roman"/>
          <w:b/>
          <w:color w:val="auto"/>
          <w:spacing w:val="-1"/>
          <w:sz w:val="44"/>
          <w:szCs w:val="44"/>
        </w:rPr>
        <w:t>航空运营人</w:t>
      </w:r>
      <w:r>
        <w:rPr>
          <w:rFonts w:hint="eastAsia" w:ascii="黑体" w:hAnsi="黑体" w:eastAsia="黑体" w:cs="Times New Roman"/>
          <w:b/>
          <w:color w:val="auto"/>
          <w:spacing w:val="-1"/>
          <w:sz w:val="44"/>
          <w:szCs w:val="44"/>
          <w:lang w:val="en-US" w:eastAsia="zh-CN"/>
        </w:rPr>
        <w:t>机载</w:t>
      </w:r>
      <w:r>
        <w:rPr>
          <w:rFonts w:ascii="黑体" w:hAnsi="黑体" w:eastAsia="黑体" w:cs="Times New Roman"/>
          <w:b/>
          <w:color w:val="auto"/>
          <w:spacing w:val="-1"/>
          <w:sz w:val="44"/>
          <w:szCs w:val="44"/>
        </w:rPr>
        <w:t>导航数据库管理规范</w:t>
      </w:r>
    </w:p>
    <w:p w14:paraId="156CD809">
      <w:pPr>
        <w:tabs>
          <w:tab w:val="left" w:pos="8580"/>
        </w:tabs>
        <w:spacing w:line="563" w:lineRule="exact"/>
        <w:ind w:right="440" w:rightChars="200" w:firstLine="704" w:firstLineChars="160"/>
        <w:jc w:val="center"/>
        <w:rPr>
          <w:rFonts w:hint="eastAsia" w:ascii="黑体" w:hAnsi="黑体" w:eastAsia="黑体" w:cs="Times New Roman"/>
          <w:b/>
          <w:color w:val="auto"/>
          <w:sz w:val="44"/>
          <w:szCs w:val="44"/>
          <w:lang w:eastAsia="zh-CN"/>
        </w:rPr>
      </w:pPr>
      <w:r>
        <w:rPr>
          <w:rFonts w:hint="eastAsia" w:ascii="黑体" w:hAnsi="黑体" w:eastAsia="黑体" w:cs="Times New Roman"/>
          <w:b/>
          <w:color w:val="auto"/>
          <w:spacing w:val="-1"/>
          <w:sz w:val="44"/>
          <w:szCs w:val="44"/>
          <w:lang w:eastAsia="zh-CN"/>
        </w:rPr>
        <w:t>（</w:t>
      </w:r>
      <w:r>
        <w:rPr>
          <w:rFonts w:hint="eastAsia" w:ascii="黑体" w:hAnsi="黑体" w:eastAsia="黑体" w:cs="Times New Roman"/>
          <w:b/>
          <w:color w:val="auto"/>
          <w:spacing w:val="-1"/>
          <w:sz w:val="44"/>
          <w:szCs w:val="44"/>
          <w:lang w:val="en-US" w:eastAsia="zh-CN"/>
        </w:rPr>
        <w:t>征求意见稿</w:t>
      </w:r>
      <w:r>
        <w:rPr>
          <w:rFonts w:hint="eastAsia" w:ascii="黑体" w:hAnsi="黑体" w:eastAsia="黑体" w:cs="Times New Roman"/>
          <w:b/>
          <w:color w:val="auto"/>
          <w:spacing w:val="-1"/>
          <w:sz w:val="44"/>
          <w:szCs w:val="44"/>
          <w:lang w:eastAsia="zh-CN"/>
        </w:rPr>
        <w:t>）</w:t>
      </w:r>
    </w:p>
    <w:p w14:paraId="6C391C51">
      <w:pPr>
        <w:tabs>
          <w:tab w:val="left" w:pos="8580"/>
        </w:tabs>
        <w:ind w:right="440" w:rightChars="200"/>
      </w:pPr>
    </w:p>
    <w:p w14:paraId="4AD88605">
      <w:pPr>
        <w:pStyle w:val="2"/>
        <w:tabs>
          <w:tab w:val="left" w:pos="8580"/>
        </w:tabs>
        <w:spacing w:before="100" w:beforeAutospacing="1" w:after="100" w:afterAutospacing="1" w:line="240" w:lineRule="auto"/>
        <w:ind w:right="440" w:rightChars="200"/>
        <w:rPr>
          <w:rFonts w:hint="eastAsia" w:ascii="黑体" w:hAnsi="黑体" w:cs="黑体"/>
          <w:b w:val="0"/>
          <w:bCs w:val="0"/>
          <w:color w:val="auto"/>
          <w:sz w:val="32"/>
          <w:szCs w:val="32"/>
        </w:rPr>
      </w:pPr>
      <w:bookmarkStart w:id="1" w:name="_Toc30241"/>
      <w:bookmarkStart w:id="2" w:name="_Toc11382"/>
      <w:bookmarkStart w:id="3" w:name="_Toc8296"/>
      <w:bookmarkStart w:id="4" w:name="_Toc26920"/>
      <w:bookmarkStart w:id="5" w:name="_Toc1239"/>
      <w:bookmarkStart w:id="6" w:name="_Toc4663"/>
      <w:r>
        <w:rPr>
          <w:rFonts w:hint="eastAsia" w:ascii="黑体" w:hAnsi="黑体" w:cs="黑体"/>
          <w:b w:val="0"/>
          <w:bCs w:val="0"/>
          <w:color w:val="auto"/>
          <w:sz w:val="32"/>
          <w:szCs w:val="32"/>
        </w:rPr>
        <w:t>1.目的</w:t>
      </w:r>
      <w:bookmarkEnd w:id="1"/>
      <w:bookmarkEnd w:id="2"/>
      <w:bookmarkEnd w:id="3"/>
      <w:bookmarkEnd w:id="4"/>
      <w:bookmarkEnd w:id="5"/>
      <w:bookmarkEnd w:id="6"/>
    </w:p>
    <w:p w14:paraId="4B09E143">
      <w:pPr>
        <w:pStyle w:val="6"/>
        <w:tabs>
          <w:tab w:val="left" w:pos="8580"/>
        </w:tabs>
        <w:spacing w:line="360" w:lineRule="auto"/>
        <w:ind w:left="0" w:right="440" w:rightChars="200" w:firstLine="632" w:firstLineChars="200"/>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pacing w:val="-2"/>
          <w:sz w:val="32"/>
          <w:szCs w:val="32"/>
        </w:rPr>
        <w:t>本管理规范旨在向航空运营人提供</w:t>
      </w:r>
      <w:r>
        <w:rPr>
          <w:rFonts w:hint="eastAsia" w:ascii="仿宋_GB2312" w:hAnsi="仿宋_GB2312" w:eastAsia="仿宋_GB2312" w:cs="仿宋_GB2312"/>
          <w:b w:val="0"/>
          <w:color w:val="auto"/>
          <w:spacing w:val="-2"/>
          <w:sz w:val="32"/>
          <w:szCs w:val="32"/>
          <w:lang w:val="en-US" w:eastAsia="zh-CN"/>
        </w:rPr>
        <w:t>机载</w:t>
      </w:r>
      <w:r>
        <w:rPr>
          <w:rFonts w:hint="eastAsia" w:ascii="仿宋_GB2312" w:hAnsi="仿宋_GB2312" w:eastAsia="仿宋_GB2312" w:cs="仿宋_GB2312"/>
          <w:b w:val="0"/>
          <w:color w:val="auto"/>
          <w:spacing w:val="-2"/>
          <w:sz w:val="32"/>
          <w:szCs w:val="32"/>
        </w:rPr>
        <w:t>导航数据库管理的依据和规范，同时为局方监察员相关管理工作提供指南。</w:t>
      </w:r>
    </w:p>
    <w:p w14:paraId="60929866">
      <w:pPr>
        <w:pStyle w:val="6"/>
        <w:tabs>
          <w:tab w:val="left" w:pos="8580"/>
        </w:tabs>
        <w:spacing w:line="360" w:lineRule="auto"/>
        <w:ind w:left="0" w:right="440" w:rightChars="200" w:firstLine="632"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本规范并不是航空运营人</w:t>
      </w:r>
      <w:r>
        <w:rPr>
          <w:rFonts w:hint="eastAsia" w:ascii="仿宋_GB2312" w:hAnsi="仿宋_GB2312" w:eastAsia="仿宋_GB2312" w:cs="仿宋_GB2312"/>
          <w:b w:val="0"/>
          <w:color w:val="auto"/>
          <w:spacing w:val="-2"/>
          <w:sz w:val="32"/>
          <w:szCs w:val="32"/>
          <w:lang w:val="en-US" w:eastAsia="zh-CN"/>
        </w:rPr>
        <w:t>机载</w:t>
      </w:r>
      <w:r>
        <w:rPr>
          <w:rFonts w:hint="eastAsia" w:ascii="仿宋_GB2312" w:hAnsi="仿宋_GB2312" w:eastAsia="仿宋_GB2312" w:cs="仿宋_GB2312"/>
          <w:b w:val="0"/>
          <w:color w:val="auto"/>
          <w:spacing w:val="-2"/>
          <w:sz w:val="32"/>
          <w:szCs w:val="32"/>
        </w:rPr>
        <w:t>导航数据库管理的唯一方法，运营人也可采用中国民航局可接受的其他符合性方法。</w:t>
      </w:r>
    </w:p>
    <w:p w14:paraId="48D3E193">
      <w:pPr>
        <w:pStyle w:val="2"/>
        <w:tabs>
          <w:tab w:val="left" w:pos="8580"/>
        </w:tabs>
        <w:spacing w:before="100" w:beforeAutospacing="1" w:after="100" w:afterAutospacing="1" w:line="240" w:lineRule="auto"/>
        <w:ind w:right="440" w:rightChars="200"/>
        <w:rPr>
          <w:rFonts w:hint="eastAsia" w:ascii="黑体" w:hAnsi="黑体" w:cs="黑体"/>
          <w:b w:val="0"/>
          <w:bCs w:val="0"/>
          <w:color w:val="auto"/>
          <w:sz w:val="32"/>
          <w:szCs w:val="32"/>
        </w:rPr>
      </w:pPr>
      <w:bookmarkStart w:id="7" w:name="_Toc29583"/>
      <w:bookmarkStart w:id="8" w:name="_Toc11896"/>
      <w:bookmarkStart w:id="9" w:name="_Toc10896"/>
      <w:bookmarkStart w:id="10" w:name="_Toc4591"/>
      <w:bookmarkStart w:id="11" w:name="_Toc24658"/>
      <w:bookmarkStart w:id="12" w:name="_Toc4116"/>
      <w:r>
        <w:rPr>
          <w:rFonts w:hint="eastAsia" w:ascii="黑体" w:hAnsi="黑体" w:cs="黑体"/>
          <w:b w:val="0"/>
          <w:bCs w:val="0"/>
          <w:color w:val="auto"/>
          <w:sz w:val="32"/>
          <w:szCs w:val="32"/>
        </w:rPr>
        <w:t>2.适用范围</w:t>
      </w:r>
      <w:bookmarkEnd w:id="7"/>
      <w:bookmarkEnd w:id="8"/>
      <w:bookmarkEnd w:id="9"/>
      <w:bookmarkEnd w:id="10"/>
      <w:bookmarkEnd w:id="11"/>
      <w:bookmarkEnd w:id="12"/>
    </w:p>
    <w:p w14:paraId="08224172">
      <w:pPr>
        <w:pStyle w:val="6"/>
        <w:tabs>
          <w:tab w:val="left" w:pos="8580"/>
        </w:tabs>
        <w:spacing w:line="360" w:lineRule="auto"/>
        <w:ind w:left="0" w:right="440" w:rightChars="200" w:firstLine="632"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本规范适用于CCAR121、135和136部运营人。CCAR91部航空运营人实施基于机载导航数据库的飞行运行时，可参照本规范建立导航数据库管理程序。</w:t>
      </w:r>
    </w:p>
    <w:p w14:paraId="34999B5E">
      <w:pPr>
        <w:pStyle w:val="6"/>
        <w:tabs>
          <w:tab w:val="left" w:pos="8580"/>
        </w:tabs>
        <w:spacing w:line="360" w:lineRule="auto"/>
        <w:ind w:left="0" w:right="440" w:rightChars="200" w:firstLine="632"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本规范中所涉及导航数据库，是指包括航路、进/离场和进近</w:t>
      </w:r>
      <w:r>
        <w:rPr>
          <w:rFonts w:hint="eastAsia" w:ascii="仿宋_GB2312" w:hAnsi="仿宋_GB2312" w:eastAsia="仿宋_GB2312" w:cs="仿宋_GB2312"/>
          <w:b w:val="0"/>
          <w:color w:val="auto"/>
          <w:spacing w:val="-2"/>
          <w:sz w:val="32"/>
          <w:szCs w:val="32"/>
          <w:lang w:val="en-US" w:eastAsia="zh-CN"/>
        </w:rPr>
        <w:t>复飞</w:t>
      </w:r>
      <w:r>
        <w:rPr>
          <w:rFonts w:hint="eastAsia" w:ascii="仿宋_GB2312" w:hAnsi="仿宋_GB2312" w:eastAsia="仿宋_GB2312" w:cs="仿宋_GB2312"/>
          <w:b w:val="0"/>
          <w:color w:val="auto"/>
          <w:spacing w:val="-2"/>
          <w:sz w:val="32"/>
          <w:szCs w:val="32"/>
        </w:rPr>
        <w:t>等飞行阶段供航空器使用的机载导航数据库。</w:t>
      </w:r>
    </w:p>
    <w:p w14:paraId="2D99ED38">
      <w:pPr>
        <w:pStyle w:val="2"/>
        <w:tabs>
          <w:tab w:val="left" w:pos="8580"/>
        </w:tabs>
        <w:spacing w:before="100" w:beforeAutospacing="1" w:after="100" w:afterAutospacing="1" w:line="240" w:lineRule="auto"/>
        <w:ind w:right="440" w:rightChars="200"/>
        <w:rPr>
          <w:rFonts w:hint="eastAsia" w:ascii="黑体" w:hAnsi="黑体" w:cs="黑体"/>
          <w:b w:val="0"/>
          <w:bCs w:val="0"/>
          <w:color w:val="auto"/>
          <w:sz w:val="32"/>
          <w:szCs w:val="32"/>
        </w:rPr>
      </w:pPr>
      <w:bookmarkStart w:id="13" w:name="_Toc13431"/>
      <w:bookmarkStart w:id="14" w:name="_Toc30651"/>
      <w:bookmarkStart w:id="15" w:name="_Toc8916"/>
      <w:bookmarkStart w:id="16" w:name="_Toc128"/>
      <w:bookmarkStart w:id="17" w:name="_Toc21966"/>
      <w:bookmarkStart w:id="18" w:name="_Toc13666"/>
      <w:r>
        <w:rPr>
          <w:rFonts w:hint="eastAsia" w:ascii="黑体" w:hAnsi="黑体" w:cs="黑体"/>
          <w:b w:val="0"/>
          <w:bCs w:val="0"/>
          <w:color w:val="auto"/>
          <w:sz w:val="32"/>
          <w:szCs w:val="32"/>
          <w:lang w:val="en-US" w:eastAsia="zh-CN"/>
        </w:rPr>
        <w:t>3</w:t>
      </w:r>
      <w:r>
        <w:rPr>
          <w:rFonts w:hint="eastAsia" w:ascii="黑体" w:hAnsi="黑体" w:cs="黑体"/>
          <w:b w:val="0"/>
          <w:bCs w:val="0"/>
          <w:color w:val="auto"/>
          <w:sz w:val="32"/>
          <w:szCs w:val="32"/>
        </w:rPr>
        <w:t>.参考资料</w:t>
      </w:r>
      <w:bookmarkEnd w:id="13"/>
      <w:bookmarkEnd w:id="14"/>
      <w:bookmarkEnd w:id="15"/>
      <w:bookmarkEnd w:id="16"/>
      <w:bookmarkEnd w:id="17"/>
      <w:bookmarkEnd w:id="18"/>
    </w:p>
    <w:p w14:paraId="37E02721">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（1）《机载航空数据处理及相关数据库》（CTSO-2C611）</w:t>
      </w:r>
    </w:p>
    <w:p w14:paraId="6FF41987">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（2）《机载航空数据处理及相关数据库符合性指南》（AC-21-AA-2025-43）</w:t>
      </w:r>
    </w:p>
    <w:p w14:paraId="02CE8FA7">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（3）《基于性能导航（PBN）运行和批准指南》（AC-91-FS-001R2）</w:t>
      </w:r>
    </w:p>
    <w:p w14:paraId="28EC41B1">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（4）《实施要求授权的所需导航性能（RNP AR）飞行程序的适航和运行批准指南》（AC-91-FS-05-R</w:t>
      </w:r>
      <w:r>
        <w:rPr>
          <w:rFonts w:hint="eastAsia" w:ascii="仿宋_GB2312" w:hAnsi="仿宋_GB2312" w:eastAsia="仿宋_GB2312" w:cs="仿宋_GB2312"/>
          <w:b w:val="0"/>
          <w:color w:val="auto"/>
          <w:spacing w:val="-2"/>
          <w:sz w:val="32"/>
          <w:szCs w:val="32"/>
          <w:lang w:val="en-US" w:eastAsia="zh-CN"/>
        </w:rPr>
        <w:t>2</w:t>
      </w:r>
      <w:r>
        <w:rPr>
          <w:rFonts w:hint="eastAsia" w:ascii="仿宋_GB2312" w:hAnsi="仿宋_GB2312" w:eastAsia="仿宋_GB2312" w:cs="仿宋_GB2312"/>
          <w:b w:val="0"/>
          <w:color w:val="auto"/>
          <w:spacing w:val="-2"/>
          <w:sz w:val="32"/>
          <w:szCs w:val="32"/>
        </w:rPr>
        <w:t>）</w:t>
      </w:r>
    </w:p>
    <w:p w14:paraId="3C06B792">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（5）《民用运输机场仪表飞行程序验证实施办法》</w:t>
      </w:r>
      <w:r>
        <w:rPr>
          <w:rFonts w:hint="eastAsia" w:ascii="仿宋_GB2312" w:hAnsi="仿宋_GB2312" w:eastAsia="仿宋_GB2312" w:cs="仿宋_GB2312"/>
          <w:b w:val="0"/>
          <w:color w:val="auto"/>
          <w:spacing w:val="-2"/>
          <w:sz w:val="32"/>
          <w:szCs w:val="32"/>
          <w:lang w:eastAsia="zh-CN"/>
        </w:rPr>
        <w:t>（</w:t>
      </w:r>
      <w:r>
        <w:rPr>
          <w:rFonts w:hint="eastAsia" w:ascii="仿宋_GB2312" w:hAnsi="仿宋_GB2312" w:eastAsia="仿宋_GB2312" w:cs="仿宋_GB2312"/>
          <w:b w:val="0"/>
          <w:color w:val="auto"/>
          <w:spacing w:val="-2"/>
          <w:sz w:val="32"/>
          <w:szCs w:val="32"/>
        </w:rPr>
        <w:t>AC-97-FS-002R1</w:t>
      </w:r>
      <w:r>
        <w:rPr>
          <w:rFonts w:hint="eastAsia" w:ascii="仿宋_GB2312" w:hAnsi="仿宋_GB2312" w:eastAsia="仿宋_GB2312" w:cs="仿宋_GB2312"/>
          <w:b w:val="0"/>
          <w:color w:val="auto"/>
          <w:spacing w:val="-2"/>
          <w:sz w:val="32"/>
          <w:szCs w:val="32"/>
          <w:lang w:eastAsia="zh-CN"/>
        </w:rPr>
        <w:t>）</w:t>
      </w:r>
    </w:p>
    <w:p w14:paraId="16C4C6D4">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（6）ICAO附件4《航图》</w:t>
      </w:r>
    </w:p>
    <w:p w14:paraId="484FE49A">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（7）ICAO附件14《航行情报服务》</w:t>
      </w:r>
    </w:p>
    <w:p w14:paraId="368DFEC7">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（8）《基于性能的导航（PBN）手册》（ICAO Doc 9613）</w:t>
      </w:r>
    </w:p>
    <w:p w14:paraId="3053C825">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 xml:space="preserve">（9）《航空数据处理和相关数据库的认可》（FAA AC 20-153( </w:t>
      </w:r>
      <w:r>
        <w:rPr>
          <w:rFonts w:hint="eastAsia" w:ascii="仿宋_GB2312" w:hAnsi="仿宋_GB2312" w:eastAsia="仿宋_GB2312" w:cs="仿宋_GB2312"/>
          <w:b w:val="0"/>
          <w:color w:val="auto"/>
          <w:spacing w:val="-2"/>
          <w:sz w:val="32"/>
          <w:szCs w:val="32"/>
          <w:lang w:val="en-US" w:eastAsia="zh-CN"/>
        </w:rPr>
        <w:t>)</w:t>
      </w:r>
      <w:r>
        <w:rPr>
          <w:rFonts w:hint="eastAsia" w:ascii="仿宋_GB2312" w:hAnsi="仿宋_GB2312" w:eastAsia="仿宋_GB2312" w:cs="仿宋_GB2312"/>
          <w:b w:val="0"/>
          <w:color w:val="auto"/>
          <w:spacing w:val="-2"/>
          <w:sz w:val="32"/>
          <w:szCs w:val="32"/>
        </w:rPr>
        <w:t>）</w:t>
      </w:r>
    </w:p>
    <w:p w14:paraId="59A260DA">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 xml:space="preserve">（10）《航空数据处理标准》（RTCA/DO-200( </w:t>
      </w:r>
      <w:r>
        <w:rPr>
          <w:rFonts w:hint="eastAsia" w:ascii="仿宋_GB2312" w:hAnsi="仿宋_GB2312" w:eastAsia="仿宋_GB2312" w:cs="仿宋_GB2312"/>
          <w:b w:val="0"/>
          <w:color w:val="auto"/>
          <w:spacing w:val="-2"/>
          <w:sz w:val="32"/>
          <w:szCs w:val="32"/>
          <w:lang w:val="en-US" w:eastAsia="zh-CN"/>
        </w:rPr>
        <w:t>)</w:t>
      </w:r>
      <w:r>
        <w:rPr>
          <w:rFonts w:hint="eastAsia" w:ascii="仿宋_GB2312" w:hAnsi="仿宋_GB2312" w:eastAsia="仿宋_GB2312" w:cs="仿宋_GB2312"/>
          <w:b w:val="0"/>
          <w:color w:val="auto"/>
          <w:spacing w:val="-2"/>
          <w:sz w:val="32"/>
          <w:szCs w:val="32"/>
        </w:rPr>
        <w:t>）</w:t>
      </w:r>
    </w:p>
    <w:p w14:paraId="7D8A68B6">
      <w:pPr>
        <w:pStyle w:val="6"/>
        <w:tabs>
          <w:tab w:val="left" w:pos="8580"/>
        </w:tabs>
        <w:spacing w:line="360" w:lineRule="auto"/>
        <w:ind w:left="0" w:right="440" w:rightChars="200" w:firstLine="632"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 xml:space="preserve">（11）《航空数据标准》（RTCA/DO-201( </w:t>
      </w:r>
      <w:r>
        <w:rPr>
          <w:rFonts w:hint="eastAsia" w:ascii="仿宋_GB2312" w:hAnsi="仿宋_GB2312" w:eastAsia="仿宋_GB2312" w:cs="仿宋_GB2312"/>
          <w:b w:val="0"/>
          <w:color w:val="auto"/>
          <w:spacing w:val="-2"/>
          <w:sz w:val="32"/>
          <w:szCs w:val="32"/>
          <w:lang w:val="en-US" w:eastAsia="zh-CN"/>
        </w:rPr>
        <w:t>)</w:t>
      </w:r>
      <w:r>
        <w:rPr>
          <w:rFonts w:hint="eastAsia" w:ascii="仿宋_GB2312" w:hAnsi="仿宋_GB2312" w:eastAsia="仿宋_GB2312" w:cs="仿宋_GB2312"/>
          <w:b w:val="0"/>
          <w:color w:val="auto"/>
          <w:spacing w:val="-2"/>
          <w:sz w:val="32"/>
          <w:szCs w:val="32"/>
        </w:rPr>
        <w:t>）</w:t>
      </w:r>
    </w:p>
    <w:p w14:paraId="54EC815F">
      <w:pPr>
        <w:pStyle w:val="6"/>
        <w:tabs>
          <w:tab w:val="left" w:pos="8580"/>
        </w:tabs>
        <w:spacing w:line="360" w:lineRule="auto"/>
        <w:ind w:left="0" w:right="440" w:rightChars="200" w:firstLine="632"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（12）《导航系统数据库》（ARINC-424）</w:t>
      </w:r>
    </w:p>
    <w:p w14:paraId="5D85B342">
      <w:pPr>
        <w:pStyle w:val="2"/>
        <w:tabs>
          <w:tab w:val="left" w:pos="8580"/>
        </w:tabs>
        <w:spacing w:before="100" w:beforeAutospacing="1" w:after="100" w:afterAutospacing="1" w:line="240" w:lineRule="auto"/>
        <w:ind w:right="440" w:rightChars="200"/>
        <w:rPr>
          <w:rFonts w:hint="eastAsia" w:ascii="黑体" w:hAnsi="黑体" w:cs="黑体"/>
          <w:b w:val="0"/>
          <w:bCs w:val="0"/>
          <w:color w:val="auto"/>
          <w:sz w:val="32"/>
          <w:szCs w:val="32"/>
        </w:rPr>
      </w:pPr>
      <w:bookmarkStart w:id="19" w:name="_Toc32498"/>
      <w:bookmarkStart w:id="20" w:name="_Toc9198"/>
      <w:bookmarkStart w:id="21" w:name="_Toc16192"/>
      <w:bookmarkStart w:id="22" w:name="_Toc1055"/>
      <w:bookmarkStart w:id="23" w:name="_Toc19266"/>
      <w:bookmarkStart w:id="24" w:name="_Toc3218"/>
      <w:r>
        <w:rPr>
          <w:rFonts w:hint="eastAsia" w:ascii="黑体" w:hAnsi="黑体" w:cs="黑体"/>
          <w:b w:val="0"/>
          <w:bCs w:val="0"/>
          <w:color w:val="auto"/>
          <w:sz w:val="32"/>
          <w:szCs w:val="32"/>
          <w:lang w:val="en-US" w:eastAsia="zh-CN"/>
        </w:rPr>
        <w:t>4</w:t>
      </w:r>
      <w:r>
        <w:rPr>
          <w:rFonts w:hint="eastAsia" w:ascii="黑体" w:hAnsi="黑体" w:cs="黑体"/>
          <w:b w:val="0"/>
          <w:bCs w:val="0"/>
          <w:color w:val="auto"/>
          <w:sz w:val="32"/>
          <w:szCs w:val="32"/>
        </w:rPr>
        <w:t>.背景</w:t>
      </w:r>
      <w:bookmarkEnd w:id="19"/>
      <w:bookmarkEnd w:id="20"/>
      <w:bookmarkEnd w:id="21"/>
      <w:bookmarkEnd w:id="22"/>
      <w:bookmarkEnd w:id="23"/>
      <w:bookmarkEnd w:id="24"/>
    </w:p>
    <w:p w14:paraId="2A0C2135">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机载导航数据库是现代大中型运输机飞行管理系统（FMS）及自动飞行控制系统（AFCS）的</w:t>
      </w:r>
      <w:r>
        <w:rPr>
          <w:rFonts w:hint="eastAsia" w:ascii="仿宋_GB2312" w:hAnsi="仿宋_GB2312" w:eastAsia="仿宋_GB2312" w:cs="仿宋_GB2312"/>
          <w:b w:val="0"/>
          <w:color w:val="auto"/>
          <w:spacing w:val="-2"/>
          <w:sz w:val="32"/>
          <w:szCs w:val="32"/>
          <w:lang w:eastAsia="zh-CN"/>
        </w:rPr>
        <w:t>重要</w:t>
      </w:r>
      <w:r>
        <w:rPr>
          <w:rFonts w:hint="eastAsia" w:ascii="仿宋_GB2312" w:hAnsi="仿宋_GB2312" w:eastAsia="仿宋_GB2312" w:cs="仿宋_GB2312"/>
          <w:b w:val="0"/>
          <w:color w:val="auto"/>
          <w:spacing w:val="-2"/>
          <w:sz w:val="32"/>
          <w:szCs w:val="32"/>
        </w:rPr>
        <w:t>信息源，是现代飞行运行的重要支撑。随着中国民航基于性能的导航（PBN）运行的深入推进，导航数据库已成为保障飞行安全、提升运行效率的核心数据基础。航空运营人作为导航数据库的终端用户，必须从运行应用的角度建立一系列质量管理方法，对导航数据库管理的程序、记录、</w:t>
      </w:r>
      <w:r>
        <w:rPr>
          <w:rFonts w:hint="eastAsia" w:ascii="仿宋_GB2312" w:hAnsi="仿宋_GB2312" w:eastAsia="仿宋_GB2312" w:cs="仿宋_GB2312"/>
          <w:b w:val="0"/>
          <w:color w:val="auto"/>
          <w:spacing w:val="-2"/>
          <w:sz w:val="32"/>
          <w:szCs w:val="32"/>
          <w:lang w:eastAsia="zh-CN"/>
        </w:rPr>
        <w:t>审计</w:t>
      </w:r>
      <w:r>
        <w:rPr>
          <w:rFonts w:hint="eastAsia" w:ascii="仿宋_GB2312" w:hAnsi="仿宋_GB2312" w:eastAsia="仿宋_GB2312" w:cs="仿宋_GB2312"/>
          <w:b w:val="0"/>
          <w:color w:val="auto"/>
          <w:spacing w:val="-2"/>
          <w:sz w:val="32"/>
          <w:szCs w:val="32"/>
        </w:rPr>
        <w:t>、培训等方面做出规定，从而确保安全、高效</w:t>
      </w:r>
      <w:r>
        <w:rPr>
          <w:rFonts w:hint="eastAsia" w:ascii="仿宋_GB2312" w:hAnsi="仿宋_GB2312" w:eastAsia="仿宋_GB2312" w:cs="仿宋_GB2312"/>
          <w:b w:val="0"/>
          <w:color w:val="auto"/>
          <w:spacing w:val="-2"/>
          <w:sz w:val="32"/>
          <w:szCs w:val="32"/>
          <w:lang w:eastAsia="zh-CN"/>
        </w:rPr>
        <w:t>地</w:t>
      </w:r>
      <w:r>
        <w:rPr>
          <w:rFonts w:hint="eastAsia" w:ascii="仿宋_GB2312" w:hAnsi="仿宋_GB2312" w:eastAsia="仿宋_GB2312" w:cs="仿宋_GB2312"/>
          <w:b w:val="0"/>
          <w:color w:val="auto"/>
          <w:spacing w:val="-2"/>
          <w:sz w:val="32"/>
          <w:szCs w:val="32"/>
        </w:rPr>
        <w:t>运行。</w:t>
      </w:r>
    </w:p>
    <w:p w14:paraId="7F01FDAC">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《航空运营人导航数据库管理规范》（AC-91-FS-2014-21）发布至今，为规范运营人导航数据库管理工作发挥了重要作用。然而，因彼时民航局尚未</w:t>
      </w:r>
      <w:r>
        <w:rPr>
          <w:rFonts w:hint="eastAsia" w:ascii="仿宋_GB2312" w:hAnsi="仿宋_GB2312" w:eastAsia="仿宋_GB2312" w:cs="仿宋_GB2312"/>
          <w:b w:val="0"/>
          <w:color w:val="auto"/>
          <w:spacing w:val="-2"/>
          <w:sz w:val="32"/>
          <w:szCs w:val="32"/>
          <w:lang w:val="en-US" w:eastAsia="zh-CN"/>
        </w:rPr>
        <w:t>出台</w:t>
      </w:r>
      <w:r>
        <w:rPr>
          <w:rFonts w:hint="eastAsia" w:ascii="仿宋_GB2312" w:hAnsi="仿宋_GB2312" w:eastAsia="仿宋_GB2312" w:cs="仿宋_GB2312"/>
          <w:b w:val="0"/>
          <w:color w:val="auto"/>
          <w:spacing w:val="-2"/>
          <w:sz w:val="32"/>
          <w:szCs w:val="32"/>
        </w:rPr>
        <w:t>针对航空数据处理及相关数据库的适航审定</w:t>
      </w:r>
      <w:r>
        <w:rPr>
          <w:rFonts w:hint="eastAsia" w:ascii="仿宋_GB2312" w:hAnsi="仿宋_GB2312" w:eastAsia="仿宋_GB2312" w:cs="仿宋_GB2312"/>
          <w:b w:val="0"/>
          <w:color w:val="auto"/>
          <w:spacing w:val="-2"/>
          <w:sz w:val="32"/>
          <w:szCs w:val="32"/>
          <w:lang w:val="en-US" w:eastAsia="zh-CN"/>
        </w:rPr>
        <w:t>政策</w:t>
      </w:r>
      <w:r>
        <w:rPr>
          <w:rFonts w:hint="eastAsia" w:ascii="仿宋_GB2312" w:hAnsi="仿宋_GB2312" w:eastAsia="仿宋_GB2312" w:cs="仿宋_GB2312"/>
          <w:b w:val="0"/>
          <w:color w:val="auto"/>
          <w:spacing w:val="-2"/>
          <w:sz w:val="32"/>
          <w:szCs w:val="32"/>
        </w:rPr>
        <w:t>，所以该版咨询通告未明确航空数据供应商的资质要求。</w:t>
      </w:r>
    </w:p>
    <w:p w14:paraId="0D9AC998">
      <w:pPr>
        <w:pStyle w:val="6"/>
        <w:tabs>
          <w:tab w:val="left" w:pos="8580"/>
        </w:tabs>
        <w:spacing w:line="360" w:lineRule="auto"/>
        <w:ind w:left="0" w:right="440" w:rightChars="200" w:firstLine="632" w:firstLineChars="200"/>
        <w:jc w:val="left"/>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2025年8月，民航局先后发布了《机载航空数据处理及相关数据库》（CTSO-2C611）和《机载航空数据处理及相关数据库符合性指南》（AC-21-AA-2025-43），明确了航空数据供应商为获得中国民航机载航空数据处理及相关数据库批准所必须满足的最低标准和符合性方法。</w:t>
      </w:r>
    </w:p>
    <w:p w14:paraId="4B28C72A">
      <w:pPr>
        <w:pStyle w:val="6"/>
        <w:tabs>
          <w:tab w:val="left" w:pos="8580"/>
        </w:tabs>
        <w:spacing w:line="360" w:lineRule="auto"/>
        <w:ind w:left="0" w:right="440" w:rightChars="200" w:firstLine="632"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val="0"/>
          <w:color w:val="auto"/>
          <w:spacing w:val="-2"/>
          <w:sz w:val="32"/>
          <w:szCs w:val="32"/>
        </w:rPr>
        <w:t>为此，本次修订旨在将运营人对数据供应商的管理职责与民航局的审定要求相衔接，明确对数据供应商的资质要求，并结合质量管理体系方法对运营人导航数据库管理提出要求，为航空运营人在新的民航发展背景下开展导航数据库管理提供指导。</w:t>
      </w:r>
    </w:p>
    <w:p w14:paraId="62D3F9E6">
      <w:pPr>
        <w:pStyle w:val="2"/>
        <w:tabs>
          <w:tab w:val="left" w:pos="8580"/>
        </w:tabs>
        <w:spacing w:before="100" w:beforeAutospacing="1" w:after="100" w:afterAutospacing="1" w:line="240" w:lineRule="auto"/>
        <w:ind w:right="440" w:rightChars="200"/>
        <w:rPr>
          <w:rFonts w:hint="eastAsia" w:ascii="黑体" w:hAnsi="黑体" w:cs="黑体"/>
          <w:b w:val="0"/>
          <w:bCs w:val="0"/>
          <w:color w:val="auto"/>
          <w:sz w:val="32"/>
          <w:szCs w:val="32"/>
        </w:rPr>
      </w:pPr>
      <w:bookmarkStart w:id="25" w:name="_Toc608"/>
      <w:bookmarkStart w:id="26" w:name="_Toc11973"/>
      <w:bookmarkStart w:id="27" w:name="_Toc28728"/>
      <w:bookmarkStart w:id="28" w:name="_Toc17205"/>
      <w:bookmarkStart w:id="29" w:name="_Toc897"/>
      <w:bookmarkStart w:id="30" w:name="_Toc763"/>
      <w:r>
        <w:rPr>
          <w:rFonts w:hint="eastAsia" w:ascii="黑体" w:hAnsi="黑体" w:cs="黑体"/>
          <w:b w:val="0"/>
          <w:bCs w:val="0"/>
          <w:color w:val="auto"/>
          <w:sz w:val="32"/>
          <w:szCs w:val="32"/>
          <w:lang w:val="en-US" w:eastAsia="zh-CN"/>
        </w:rPr>
        <w:t>5</w:t>
      </w:r>
      <w:r>
        <w:rPr>
          <w:rFonts w:hint="eastAsia" w:ascii="黑体" w:hAnsi="黑体" w:cs="黑体"/>
          <w:b w:val="0"/>
          <w:bCs w:val="0"/>
          <w:color w:val="auto"/>
          <w:sz w:val="32"/>
          <w:szCs w:val="32"/>
        </w:rPr>
        <w:t>.术语</w:t>
      </w:r>
      <w:bookmarkEnd w:id="25"/>
      <w:bookmarkEnd w:id="26"/>
      <w:bookmarkEnd w:id="27"/>
      <w:bookmarkEnd w:id="28"/>
      <w:bookmarkEnd w:id="29"/>
      <w:bookmarkEnd w:id="30"/>
    </w:p>
    <w:p w14:paraId="7E6E4448">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航空数据</w:t>
      </w:r>
      <w:r>
        <w:rPr>
          <w:rFonts w:hint="eastAsia" w:ascii="仿宋_GB2312" w:hAnsi="仿宋_GB2312" w:eastAsia="仿宋_GB2312" w:cs="仿宋_GB2312"/>
          <w:b/>
          <w:bCs w:val="0"/>
          <w:color w:val="auto"/>
          <w:spacing w:val="-2"/>
          <w:w w:val="100"/>
          <w:sz w:val="32"/>
          <w:szCs w:val="32"/>
        </w:rPr>
        <w:t>（</w:t>
      </w:r>
      <w:r>
        <w:rPr>
          <w:rFonts w:hint="eastAsia" w:ascii="仿宋_GB2312" w:hAnsi="仿宋_GB2312" w:eastAsia="仿宋_GB2312" w:cs="仿宋_GB2312"/>
          <w:b/>
          <w:bCs w:val="0"/>
          <w:color w:val="auto"/>
          <w:spacing w:val="-2"/>
          <w:sz w:val="32"/>
          <w:szCs w:val="32"/>
        </w:rPr>
        <w:t>Aeronautical Data</w:t>
      </w:r>
      <w:r>
        <w:rPr>
          <w:rFonts w:hint="eastAsia" w:ascii="仿宋_GB2312" w:hAnsi="仿宋_GB2312" w:eastAsia="仿宋_GB2312" w:cs="仿宋_GB2312"/>
          <w:b/>
          <w:bCs w:val="0"/>
          <w:color w:val="auto"/>
          <w:spacing w:val="-2"/>
          <w:w w:val="100"/>
          <w:sz w:val="32"/>
          <w:szCs w:val="32"/>
        </w:rPr>
        <w:t>）：</w:t>
      </w:r>
      <w:r>
        <w:rPr>
          <w:rFonts w:hint="eastAsia" w:ascii="仿宋_GB2312" w:hAnsi="仿宋_GB2312" w:eastAsia="仿宋_GB2312" w:cs="仿宋_GB2312"/>
          <w:b w:val="0"/>
          <w:color w:val="auto"/>
          <w:spacing w:val="-3"/>
          <w:sz w:val="32"/>
          <w:szCs w:val="32"/>
        </w:rPr>
        <w:t>支持航空应用的数据，如</w:t>
      </w:r>
      <w:r>
        <w:rPr>
          <w:rFonts w:hint="eastAsia" w:ascii="仿宋_GB2312" w:hAnsi="仿宋_GB2312" w:eastAsia="仿宋_GB2312" w:cs="仿宋_GB2312"/>
          <w:b w:val="0"/>
          <w:color w:val="auto"/>
          <w:spacing w:val="-2"/>
          <w:sz w:val="32"/>
          <w:szCs w:val="32"/>
        </w:rPr>
        <w:t>导航、飞行计划、飞机模拟机、地形感知及其他用途（如导航数据、地形和障碍物数据及机场地图数据）。其他用途还可能包括新兴的航空应用（如动态电子航图等）。</w:t>
      </w:r>
    </w:p>
    <w:p w14:paraId="3948EE60">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bCs w:val="0"/>
          <w:color w:val="auto"/>
          <w:spacing w:val="-2"/>
          <w:sz w:val="32"/>
          <w:szCs w:val="32"/>
        </w:rPr>
        <w:t>航空数据库（Aeronautical Database</w:t>
      </w:r>
      <w:r>
        <w:rPr>
          <w:rFonts w:hint="eastAsia" w:ascii="仿宋_GB2312" w:hAnsi="仿宋_GB2312" w:eastAsia="仿宋_GB2312" w:cs="仿宋_GB2312"/>
          <w:b/>
          <w:bCs w:val="0"/>
          <w:color w:val="auto"/>
          <w:spacing w:val="-2"/>
          <w:w w:val="100"/>
          <w:sz w:val="32"/>
          <w:szCs w:val="32"/>
        </w:rPr>
        <w:t>）：</w:t>
      </w:r>
      <w:r>
        <w:rPr>
          <w:rFonts w:hint="eastAsia" w:ascii="仿宋_GB2312" w:hAnsi="仿宋_GB2312" w:eastAsia="仿宋_GB2312" w:cs="仿宋_GB2312"/>
          <w:b w:val="0"/>
          <w:color w:val="auto"/>
          <w:spacing w:val="-3"/>
          <w:sz w:val="32"/>
          <w:szCs w:val="32"/>
        </w:rPr>
        <w:t>以电子形式存储在</w:t>
      </w:r>
      <w:r>
        <w:rPr>
          <w:rFonts w:hint="eastAsia" w:ascii="仿宋_GB2312" w:hAnsi="仿宋_GB2312" w:eastAsia="仿宋_GB2312" w:cs="仿宋_GB2312"/>
          <w:b w:val="0"/>
          <w:color w:val="auto"/>
          <w:spacing w:val="-2"/>
          <w:sz w:val="32"/>
          <w:szCs w:val="32"/>
        </w:rPr>
        <w:t>一个系统中的所有航空数据的总称，包括导航数据库、地形数据库、障碍物数据库和机场地图数据库等。航空数据库支持机载航电系统的应用，需要定期更新。</w:t>
      </w:r>
    </w:p>
    <w:p w14:paraId="4901A360">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bCs w:val="0"/>
          <w:color w:val="auto"/>
          <w:spacing w:val="-2"/>
          <w:sz w:val="32"/>
          <w:szCs w:val="32"/>
        </w:rPr>
        <w:t>导航数据（Navigation Data）</w:t>
      </w:r>
      <w:r>
        <w:rPr>
          <w:rFonts w:hint="eastAsia" w:ascii="仿宋_GB2312" w:hAnsi="仿宋_GB2312" w:eastAsia="仿宋_GB2312" w:cs="仿宋_GB2312"/>
          <w:b/>
          <w:bCs w:val="0"/>
          <w:color w:val="auto"/>
          <w:spacing w:val="-2"/>
          <w:w w:val="100"/>
          <w:sz w:val="32"/>
          <w:szCs w:val="32"/>
        </w:rPr>
        <w:t>：</w:t>
      </w:r>
      <w:r>
        <w:rPr>
          <w:rFonts w:hint="eastAsia" w:ascii="仿宋_GB2312" w:hAnsi="仿宋_GB2312" w:eastAsia="仿宋_GB2312" w:cs="仿宋_GB2312"/>
          <w:b w:val="0"/>
          <w:color w:val="auto"/>
          <w:spacing w:val="-2"/>
          <w:sz w:val="32"/>
          <w:szCs w:val="32"/>
        </w:rPr>
        <w:t>用于航空器位置定义和航径定义的信息，包括但不限于航路点、机场与跑道、航线与终端区飞行程序、导航设施、着陆系统基础设施等，不含地形、障碍物及地理数据（如国界、水系等）。</w:t>
      </w:r>
    </w:p>
    <w:p w14:paraId="42B11020">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bCs w:val="0"/>
          <w:color w:val="auto"/>
          <w:spacing w:val="-2"/>
          <w:sz w:val="32"/>
          <w:szCs w:val="32"/>
        </w:rPr>
        <w:t>导航数据库（Navigation Database）</w:t>
      </w:r>
      <w:r>
        <w:rPr>
          <w:rFonts w:hint="eastAsia" w:ascii="仿宋_GB2312" w:hAnsi="仿宋_GB2312" w:eastAsia="仿宋_GB2312" w:cs="仿宋_GB2312"/>
          <w:b/>
          <w:bCs w:val="0"/>
          <w:color w:val="auto"/>
          <w:spacing w:val="-2"/>
          <w:w w:val="100"/>
          <w:sz w:val="32"/>
          <w:szCs w:val="32"/>
        </w:rPr>
        <w:t>：</w:t>
      </w:r>
      <w:r>
        <w:rPr>
          <w:rFonts w:hint="eastAsia" w:ascii="仿宋_GB2312" w:hAnsi="仿宋_GB2312" w:eastAsia="仿宋_GB2312" w:cs="仿宋_GB2312"/>
          <w:b w:val="0"/>
          <w:color w:val="auto"/>
          <w:spacing w:val="-2"/>
          <w:sz w:val="32"/>
          <w:szCs w:val="32"/>
        </w:rPr>
        <w:t>以电子形式存储在系统中</w:t>
      </w:r>
      <w:r>
        <w:rPr>
          <w:rFonts w:hint="eastAsia" w:ascii="仿宋_GB2312" w:hAnsi="仿宋_GB2312" w:eastAsia="仿宋_GB2312" w:cs="仿宋_GB2312"/>
          <w:b w:val="0"/>
          <w:color w:val="auto"/>
          <w:spacing w:val="-2"/>
          <w:sz w:val="32"/>
          <w:szCs w:val="32"/>
          <w:lang w:eastAsia="zh-CN"/>
        </w:rPr>
        <w:t>，</w:t>
      </w:r>
      <w:r>
        <w:rPr>
          <w:rFonts w:hint="eastAsia" w:ascii="仿宋_GB2312" w:hAnsi="仿宋_GB2312" w:eastAsia="仿宋_GB2312" w:cs="仿宋_GB2312"/>
          <w:b w:val="0"/>
          <w:color w:val="auto"/>
          <w:spacing w:val="-2"/>
          <w:sz w:val="32"/>
          <w:szCs w:val="32"/>
        </w:rPr>
        <w:t>用于支持导航应用的导航数据集合、打包及格式化文件的总称。导航数据库的内容主要包括航路点、导航设施、航路、机场、仪表飞行程序、公司航路等信息。</w:t>
      </w:r>
    </w:p>
    <w:p w14:paraId="18F1710F">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导航系统数据库规范（ARINC-424）：</w:t>
      </w:r>
      <w:r>
        <w:rPr>
          <w:rFonts w:hint="eastAsia" w:ascii="仿宋_GB2312" w:hAnsi="仿宋_GB2312" w:eastAsia="仿宋_GB2312" w:cs="仿宋_GB2312"/>
          <w:b w:val="0"/>
          <w:color w:val="auto"/>
          <w:spacing w:val="-2"/>
          <w:sz w:val="32"/>
          <w:szCs w:val="32"/>
        </w:rPr>
        <w:t>ARINC-424规范是由航空业界推荐的机载导航系统参考数据的陈述性文件，定义了导航数据库的结构、格式和内容，以</w:t>
      </w:r>
      <w:r>
        <w:rPr>
          <w:rFonts w:hint="eastAsia" w:ascii="仿宋_GB2312" w:hAnsi="仿宋_GB2312" w:eastAsia="仿宋_GB2312" w:cs="仿宋_GB2312"/>
          <w:b w:val="0"/>
          <w:color w:val="auto"/>
          <w:spacing w:val="-2"/>
          <w:sz w:val="32"/>
          <w:szCs w:val="32"/>
          <w:lang w:eastAsia="zh-CN"/>
        </w:rPr>
        <w:t>确保</w:t>
      </w:r>
      <w:r>
        <w:rPr>
          <w:rFonts w:hint="eastAsia" w:ascii="仿宋_GB2312" w:hAnsi="仿宋_GB2312" w:eastAsia="仿宋_GB2312" w:cs="仿宋_GB2312"/>
          <w:b w:val="0"/>
          <w:color w:val="auto"/>
          <w:spacing w:val="-2"/>
          <w:sz w:val="32"/>
          <w:szCs w:val="32"/>
        </w:rPr>
        <w:t>不同航电设备之间的兼容性。规范中所描述的数据库，也适用于运行控制计算机飞行计划系统、飞机模拟机和其他应用。</w:t>
      </w:r>
    </w:p>
    <w:p w14:paraId="5EDB43AD">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航空数据链（Aeronautical Data Chain）</w:t>
      </w:r>
      <w:r>
        <w:rPr>
          <w:rFonts w:hint="eastAsia" w:ascii="仿宋_GB2312" w:hAnsi="仿宋_GB2312" w:eastAsia="仿宋_GB2312" w:cs="仿宋_GB2312"/>
          <w:b/>
          <w:bCs w:val="0"/>
          <w:color w:val="auto"/>
          <w:spacing w:val="-2"/>
          <w:w w:val="100"/>
          <w:sz w:val="32"/>
          <w:szCs w:val="32"/>
        </w:rPr>
        <w:t>：</w:t>
      </w:r>
      <w:r>
        <w:rPr>
          <w:rFonts w:hint="eastAsia" w:ascii="仿宋_GB2312" w:hAnsi="仿宋_GB2312" w:eastAsia="仿宋_GB2312" w:cs="仿宋_GB2312"/>
          <w:b w:val="0"/>
          <w:color w:val="auto"/>
          <w:spacing w:val="-2"/>
          <w:sz w:val="32"/>
          <w:szCs w:val="32"/>
        </w:rPr>
        <w:t>航空数据从创建到最终使用过程的一种概念性表述。航空数据链通常由五个典型组织机构组成，即数据创建方、航空情报服务机构（AIS）或地形数据提供机构、数据提供人、应用集成商（或航电设备制造商）和终端用户。</w:t>
      </w:r>
    </w:p>
    <w:p w14:paraId="22DFC002">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6"/>
          <w:sz w:val="32"/>
          <w:szCs w:val="32"/>
        </w:rPr>
      </w:pPr>
      <w:r>
        <w:rPr>
          <w:rFonts w:hint="eastAsia" w:ascii="仿宋_GB2312" w:hAnsi="仿宋_GB2312" w:eastAsia="仿宋_GB2312" w:cs="仿宋_GB2312"/>
          <w:b/>
          <w:bCs w:val="0"/>
          <w:color w:val="auto"/>
          <w:spacing w:val="-2"/>
          <w:sz w:val="32"/>
          <w:szCs w:val="32"/>
        </w:rPr>
        <w:t>技术标准规定项目批准书（CTSOA）：</w:t>
      </w:r>
      <w:r>
        <w:rPr>
          <w:rFonts w:hint="eastAsia" w:ascii="仿宋_GB2312" w:hAnsi="仿宋_GB2312" w:eastAsia="仿宋_GB2312" w:cs="仿宋_GB2312"/>
          <w:b w:val="0"/>
          <w:color w:val="auto"/>
          <w:spacing w:val="-6"/>
          <w:sz w:val="32"/>
          <w:szCs w:val="32"/>
        </w:rPr>
        <w:t>是局方颁发给符合特定特定技术标准规定</w:t>
      </w:r>
      <w:r>
        <w:rPr>
          <w:rFonts w:hint="eastAsia" w:ascii="仿宋_GB2312" w:hAnsi="仿宋_GB2312" w:eastAsia="仿宋_GB2312" w:cs="仿宋_GB2312"/>
          <w:b w:val="0"/>
          <w:color w:val="auto"/>
          <w:spacing w:val="-6"/>
          <w:sz w:val="32"/>
          <w:szCs w:val="32"/>
          <w:lang w:eastAsia="zh-CN"/>
        </w:rPr>
        <w:t>（</w:t>
      </w:r>
      <w:r>
        <w:rPr>
          <w:rFonts w:hint="eastAsia" w:ascii="仿宋_GB2312" w:hAnsi="仿宋_GB2312" w:eastAsia="仿宋_GB2312" w:cs="仿宋_GB2312"/>
          <w:b w:val="0"/>
          <w:color w:val="auto"/>
          <w:spacing w:val="-6"/>
          <w:sz w:val="32"/>
          <w:szCs w:val="32"/>
        </w:rPr>
        <w:t>CTSO</w:t>
      </w:r>
      <w:r>
        <w:rPr>
          <w:rFonts w:hint="eastAsia" w:ascii="仿宋_GB2312" w:hAnsi="仿宋_GB2312" w:eastAsia="仿宋_GB2312" w:cs="仿宋_GB2312"/>
          <w:b w:val="0"/>
          <w:color w:val="auto"/>
          <w:spacing w:val="-6"/>
          <w:sz w:val="32"/>
          <w:szCs w:val="32"/>
          <w:lang w:eastAsia="zh-CN"/>
        </w:rPr>
        <w:t>）</w:t>
      </w:r>
      <w:r>
        <w:rPr>
          <w:rFonts w:hint="eastAsia" w:ascii="仿宋_GB2312" w:hAnsi="仿宋_GB2312" w:eastAsia="仿宋_GB2312" w:cs="仿宋_GB2312"/>
          <w:b w:val="0"/>
          <w:color w:val="auto"/>
          <w:spacing w:val="-6"/>
          <w:sz w:val="32"/>
          <w:szCs w:val="32"/>
        </w:rPr>
        <w:t>的零部件（项目）的设计批准。</w:t>
      </w:r>
    </w:p>
    <w:p w14:paraId="4A49C0F8">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6"/>
          <w:sz w:val="32"/>
          <w:szCs w:val="32"/>
        </w:rPr>
      </w:pPr>
      <w:r>
        <w:rPr>
          <w:rFonts w:hint="eastAsia" w:ascii="仿宋_GB2312" w:hAnsi="仿宋_GB2312" w:eastAsia="仿宋_GB2312" w:cs="仿宋_GB2312"/>
          <w:b/>
          <w:bCs w:val="0"/>
          <w:color w:val="auto"/>
          <w:spacing w:val="-2"/>
          <w:sz w:val="32"/>
          <w:szCs w:val="32"/>
        </w:rPr>
        <w:t>机载航空数据处理及相关数据库CTSOA（以下简称数据库CTSOA）：</w:t>
      </w:r>
      <w:r>
        <w:rPr>
          <w:rFonts w:hint="eastAsia" w:ascii="仿宋_GB2312" w:hAnsi="仿宋_GB2312" w:eastAsia="仿宋_GB2312" w:cs="仿宋_GB2312"/>
          <w:b w:val="0"/>
          <w:color w:val="auto"/>
          <w:spacing w:val="-6"/>
          <w:sz w:val="32"/>
          <w:szCs w:val="32"/>
        </w:rPr>
        <w:t>数据库CTSOA是民航局颁发的证件，记录数据供应商已满足CTSO-2C611的要求，提供数据库完好性的证据。对于要求数据完好性的功能（如RNAV、RNP等），数据库CTSOA可被作为符合RTCA/DO-200B的证据。按CTSO-2C611获取的数据库CTSOA分为1类CTSOA和2类CTSOA两种类别。</w:t>
      </w:r>
    </w:p>
    <w:p w14:paraId="632AE76E">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1类CTSOA：</w:t>
      </w:r>
      <w:r>
        <w:rPr>
          <w:rFonts w:hint="eastAsia" w:ascii="仿宋_GB2312" w:hAnsi="仿宋_GB2312" w:eastAsia="仿宋_GB2312" w:cs="仿宋_GB2312"/>
          <w:b w:val="0"/>
          <w:color w:val="auto"/>
          <w:sz w:val="32"/>
          <w:szCs w:val="32"/>
        </w:rPr>
        <w:t>1类CTSOA基于航空数据供应商和其客户（通常为航电设备制造商）之间商定的数据质量要求（DQR），确认数据供应商所交付的航空数据库满足民航局的相关要求，但不对数据库与机载系统或设备的兼容性进行确认。1类CTSOA适用于数据提供人、航空运营人或终端用户、航电设备制造商或其他组织机构。</w:t>
      </w:r>
    </w:p>
    <w:p w14:paraId="2D06D81A">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bCs w:val="0"/>
          <w:color w:val="auto"/>
          <w:spacing w:val="-2"/>
          <w:sz w:val="32"/>
          <w:szCs w:val="32"/>
        </w:rPr>
        <w:t>2类CTSOA：</w:t>
      </w:r>
      <w:r>
        <w:rPr>
          <w:rFonts w:hint="eastAsia" w:ascii="仿宋_GB2312" w:hAnsi="仿宋_GB2312" w:eastAsia="仿宋_GB2312" w:cs="仿宋_GB2312"/>
          <w:b w:val="0"/>
          <w:color w:val="auto"/>
          <w:sz w:val="32"/>
          <w:szCs w:val="32"/>
        </w:rPr>
        <w:t>2类CTSOA确认数据供应商所交付的航空数据库满足民航局的相关要求，并且与特定航空电子系统兼容，支持其实现预期功能。2类CTSOA通过列出相关设备来确认其与支持预期功能的DQR的兼容性。2类CTSOA通常适用于航电设备制造商或应用集成商。</w:t>
      </w:r>
    </w:p>
    <w:p w14:paraId="6F3695B4">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4"/>
          <w:sz w:val="32"/>
          <w:szCs w:val="32"/>
        </w:rPr>
      </w:pPr>
      <w:r>
        <w:rPr>
          <w:rFonts w:hint="eastAsia" w:ascii="仿宋_GB2312" w:hAnsi="仿宋_GB2312" w:eastAsia="仿宋_GB2312" w:cs="仿宋_GB2312"/>
          <w:b/>
          <w:bCs w:val="0"/>
          <w:color w:val="auto"/>
          <w:spacing w:val="-2"/>
          <w:sz w:val="32"/>
          <w:szCs w:val="32"/>
        </w:rPr>
        <w:t>数据供应商（Data Supplier）：</w:t>
      </w:r>
      <w:r>
        <w:rPr>
          <w:rFonts w:hint="eastAsia" w:ascii="仿宋_GB2312" w:hAnsi="仿宋_GB2312" w:eastAsia="仿宋_GB2312" w:cs="仿宋_GB2312"/>
          <w:b w:val="0"/>
          <w:color w:val="auto"/>
          <w:spacing w:val="-2"/>
          <w:sz w:val="32"/>
          <w:szCs w:val="32"/>
        </w:rPr>
        <w:t>在</w:t>
      </w:r>
      <w:r>
        <w:rPr>
          <w:rFonts w:hint="eastAsia" w:ascii="仿宋_GB2312" w:hAnsi="仿宋_GB2312" w:eastAsia="仿宋_GB2312" w:cs="仿宋_GB2312"/>
          <w:b w:val="0"/>
          <w:color w:val="auto"/>
          <w:spacing w:val="-6"/>
          <w:sz w:val="32"/>
          <w:szCs w:val="32"/>
        </w:rPr>
        <w:t>航空数据链中负责为用户处理航空数据（包括数据分发）的团体、组织或参与者</w:t>
      </w:r>
      <w:r>
        <w:rPr>
          <w:rFonts w:hint="eastAsia" w:ascii="仿宋_GB2312" w:hAnsi="仿宋_GB2312" w:eastAsia="仿宋_GB2312" w:cs="仿宋_GB2312"/>
          <w:b w:val="0"/>
          <w:color w:val="auto"/>
          <w:spacing w:val="-2"/>
          <w:sz w:val="32"/>
          <w:szCs w:val="32"/>
        </w:rPr>
        <w:t>（不包含缔约国和代表缔约国的实体机构）。航空数据链中数据提供人、航电设备制造商、应用集成商、航空器制造商、航空运营人等均可成为数据供</w:t>
      </w:r>
      <w:r>
        <w:rPr>
          <w:rFonts w:hint="eastAsia" w:ascii="仿宋_GB2312" w:hAnsi="仿宋_GB2312" w:eastAsia="仿宋_GB2312" w:cs="仿宋_GB2312"/>
          <w:b w:val="0"/>
          <w:color w:val="auto"/>
          <w:spacing w:val="-4"/>
          <w:sz w:val="32"/>
          <w:szCs w:val="32"/>
        </w:rPr>
        <w:t>应商。</w:t>
      </w:r>
    </w:p>
    <w:p w14:paraId="5539A21C">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bCs w:val="0"/>
          <w:color w:val="auto"/>
          <w:spacing w:val="-2"/>
          <w:sz w:val="32"/>
          <w:szCs w:val="32"/>
        </w:rPr>
        <w:t>数据提供人（Data provider）：</w:t>
      </w:r>
      <w:r>
        <w:rPr>
          <w:rFonts w:hint="eastAsia" w:ascii="仿宋_GB2312" w:hAnsi="仿宋_GB2312" w:eastAsia="仿宋_GB2312" w:cs="仿宋_GB2312"/>
          <w:b w:val="0"/>
          <w:color w:val="auto"/>
          <w:sz w:val="32"/>
          <w:szCs w:val="32"/>
        </w:rPr>
        <w:t>独立于应用集成而进行航空数据处理的数据供应商。</w:t>
      </w:r>
    </w:p>
    <w:p w14:paraId="258C6476">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6"/>
          <w:sz w:val="32"/>
          <w:szCs w:val="32"/>
        </w:rPr>
      </w:pPr>
      <w:r>
        <w:rPr>
          <w:rFonts w:hint="eastAsia" w:ascii="仿宋_GB2312" w:hAnsi="仿宋_GB2312" w:eastAsia="仿宋_GB2312" w:cs="仿宋_GB2312"/>
          <w:b/>
          <w:bCs w:val="0"/>
          <w:color w:val="auto"/>
          <w:spacing w:val="-2"/>
          <w:sz w:val="32"/>
          <w:szCs w:val="32"/>
        </w:rPr>
        <w:t>航电设备制造商：</w:t>
      </w:r>
      <w:r>
        <w:rPr>
          <w:rFonts w:hint="eastAsia" w:ascii="仿宋_GB2312" w:hAnsi="仿宋_GB2312" w:eastAsia="仿宋_GB2312" w:cs="仿宋_GB2312"/>
          <w:b w:val="0"/>
          <w:color w:val="auto"/>
          <w:spacing w:val="-6"/>
          <w:sz w:val="32"/>
          <w:szCs w:val="32"/>
        </w:rPr>
        <w:t>生产机载导航、通信、飞行管理等航电系统及设备的企业，是航空数据的重要承载与应用方。</w:t>
      </w:r>
    </w:p>
    <w:p w14:paraId="4E6341D2">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bCs w:val="0"/>
          <w:color w:val="auto"/>
          <w:spacing w:val="-2"/>
          <w:sz w:val="32"/>
          <w:szCs w:val="32"/>
        </w:rPr>
      </w:pPr>
      <w:r>
        <w:rPr>
          <w:rFonts w:hint="eastAsia" w:ascii="仿宋_GB2312" w:hAnsi="仿宋_GB2312" w:eastAsia="仿宋_GB2312" w:cs="仿宋_GB2312"/>
          <w:b/>
          <w:bCs w:val="0"/>
          <w:color w:val="auto"/>
          <w:spacing w:val="-2"/>
          <w:sz w:val="32"/>
          <w:szCs w:val="32"/>
        </w:rPr>
        <w:t>应用集成商：</w:t>
      </w:r>
      <w:r>
        <w:rPr>
          <w:rFonts w:hint="eastAsia" w:ascii="仿宋_GB2312" w:hAnsi="仿宋_GB2312" w:eastAsia="仿宋_GB2312" w:cs="仿宋_GB2312"/>
          <w:b w:val="0"/>
          <w:bCs w:val="0"/>
          <w:color w:val="auto"/>
          <w:spacing w:val="-2"/>
          <w:sz w:val="32"/>
          <w:szCs w:val="32"/>
        </w:rPr>
        <w:t>为具有特定预期功能和DQR的目标应用提供兼容的航空数据库的组织或机构。</w:t>
      </w:r>
    </w:p>
    <w:p w14:paraId="2E973144">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数据质量要求（DQR）：</w:t>
      </w:r>
      <w:r>
        <w:rPr>
          <w:rFonts w:hint="eastAsia" w:ascii="仿宋_GB2312" w:hAnsi="仿宋_GB2312" w:eastAsia="仿宋_GB2312" w:cs="仿宋_GB2312"/>
          <w:b w:val="0"/>
          <w:bCs w:val="0"/>
          <w:color w:val="auto"/>
          <w:spacing w:val="-2"/>
          <w:sz w:val="32"/>
          <w:szCs w:val="32"/>
        </w:rPr>
        <w:t>对航空数据在</w:t>
      </w:r>
      <w:r>
        <w:rPr>
          <w:rFonts w:hint="eastAsia" w:ascii="仿宋_GB2312" w:hAnsi="仿宋_GB2312" w:eastAsia="仿宋_GB2312" w:cs="仿宋_GB2312"/>
          <w:b w:val="0"/>
          <w:bCs w:val="0"/>
          <w:color w:val="auto"/>
          <w:spacing w:val="-2"/>
          <w:sz w:val="32"/>
          <w:szCs w:val="32"/>
          <w:lang w:val="en-US" w:eastAsia="zh-CN"/>
        </w:rPr>
        <w:t>准确性</w:t>
      </w:r>
      <w:r>
        <w:rPr>
          <w:rFonts w:hint="eastAsia" w:ascii="仿宋_GB2312" w:hAnsi="仿宋_GB2312" w:eastAsia="仿宋_GB2312" w:cs="仿宋_GB2312"/>
          <w:b w:val="0"/>
          <w:bCs w:val="0"/>
          <w:color w:val="auto"/>
          <w:spacing w:val="-2"/>
          <w:sz w:val="32"/>
          <w:szCs w:val="32"/>
        </w:rPr>
        <w:t>、分辨率、完好性、可追溯性、时效性、完整性以及格式等方面提出的要求，是数据质量控制的核心依据。在典型的航空数据链中，</w:t>
      </w:r>
      <w:r>
        <w:rPr>
          <w:rFonts w:hint="eastAsia" w:ascii="仿宋_GB2312" w:hAnsi="仿宋_GB2312" w:eastAsia="仿宋_GB2312" w:cs="仿宋_GB2312"/>
          <w:b w:val="0"/>
          <w:color w:val="auto"/>
          <w:spacing w:val="-2"/>
          <w:sz w:val="32"/>
          <w:szCs w:val="32"/>
        </w:rPr>
        <w:t>DQR由下游数据用户根据具体的航空应用需求予以确定并向上游数据供应商提出，经上下游协商确定。</w:t>
      </w:r>
    </w:p>
    <w:p w14:paraId="7EFC3F76">
      <w:pPr>
        <w:pStyle w:val="6"/>
        <w:tabs>
          <w:tab w:val="left" w:pos="8580"/>
        </w:tabs>
        <w:spacing w:line="360" w:lineRule="auto"/>
        <w:ind w:left="0" w:right="440" w:rightChars="200" w:firstLine="635"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高级管理人员：</w:t>
      </w:r>
      <w:r>
        <w:rPr>
          <w:rFonts w:hint="eastAsia" w:ascii="仿宋_GB2312" w:hAnsi="仿宋_GB2312" w:eastAsia="仿宋_GB2312" w:cs="仿宋_GB2312"/>
          <w:b w:val="0"/>
          <w:color w:val="auto"/>
          <w:spacing w:val="-2"/>
          <w:sz w:val="32"/>
          <w:szCs w:val="32"/>
        </w:rPr>
        <w:t>负责航空运营人导航数据库质量管理体系建设和运行，承担质量管理体系管理评审任务的管理人员。</w:t>
      </w:r>
    </w:p>
    <w:p w14:paraId="6AA967E6">
      <w:pPr>
        <w:pStyle w:val="6"/>
        <w:tabs>
          <w:tab w:val="left" w:pos="8580"/>
        </w:tabs>
        <w:spacing w:line="360" w:lineRule="auto"/>
        <w:ind w:left="0" w:right="440" w:rightChars="200" w:firstLine="632" w:firstLineChars="200"/>
        <w:rPr>
          <w:rFonts w:hint="eastAsia" w:ascii="仿宋_GB2312" w:hAnsi="仿宋_GB2312" w:eastAsia="仿宋_GB2312" w:cs="仿宋_GB2312"/>
          <w:b w:val="0"/>
          <w:i/>
          <w:color w:val="auto"/>
          <w:spacing w:val="-2"/>
          <w:sz w:val="32"/>
          <w:szCs w:val="32"/>
        </w:rPr>
      </w:pPr>
      <w:r>
        <w:rPr>
          <w:rFonts w:hint="eastAsia" w:ascii="仿宋_GB2312" w:hAnsi="仿宋_GB2312" w:eastAsia="仿宋_GB2312" w:cs="仿宋_GB2312"/>
          <w:b w:val="0"/>
          <w:i/>
          <w:color w:val="auto"/>
          <w:spacing w:val="-2"/>
          <w:sz w:val="32"/>
          <w:szCs w:val="32"/>
        </w:rPr>
        <w:t>注：导航数据库管理的高级管理人员一般指航空运营人运行控制部门领导或以上管理人员。</w:t>
      </w:r>
    </w:p>
    <w:p w14:paraId="5C3DC56C">
      <w:pPr>
        <w:pStyle w:val="6"/>
        <w:tabs>
          <w:tab w:val="left" w:pos="8580"/>
        </w:tabs>
        <w:spacing w:line="360" w:lineRule="auto"/>
        <w:ind w:left="0" w:right="440" w:rightChars="200" w:firstLine="635"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航空资料汇编（AIP）：</w:t>
      </w:r>
      <w:r>
        <w:rPr>
          <w:rFonts w:hint="eastAsia" w:ascii="仿宋_GB2312" w:hAnsi="仿宋_GB2312" w:eastAsia="仿宋_GB2312" w:cs="仿宋_GB2312"/>
          <w:b w:val="0"/>
          <w:color w:val="auto"/>
          <w:spacing w:val="-2"/>
          <w:sz w:val="32"/>
          <w:szCs w:val="32"/>
        </w:rPr>
        <w:t>由国家或者国家授权发行的、载有空中航行所必需的具有持久性质的航空资料出版物。</w:t>
      </w:r>
    </w:p>
    <w:p w14:paraId="744EB6FC">
      <w:pPr>
        <w:pStyle w:val="6"/>
        <w:tabs>
          <w:tab w:val="left" w:pos="8580"/>
        </w:tabs>
        <w:spacing w:line="360" w:lineRule="auto"/>
        <w:ind w:left="0" w:right="440" w:rightChars="200" w:firstLine="635"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中国民航国内航空资料汇编（NAIP）：</w:t>
      </w:r>
      <w:r>
        <w:rPr>
          <w:rFonts w:hint="eastAsia" w:ascii="仿宋_GB2312" w:hAnsi="仿宋_GB2312" w:eastAsia="仿宋_GB2312" w:cs="仿宋_GB2312"/>
          <w:b w:val="0"/>
          <w:color w:val="auto"/>
          <w:spacing w:val="-2"/>
          <w:sz w:val="32"/>
          <w:szCs w:val="32"/>
        </w:rPr>
        <w:t>根据《中华人民共和国民用航空法</w:t>
      </w:r>
      <w:r>
        <w:rPr>
          <w:rFonts w:hint="eastAsia" w:ascii="仿宋_GB2312" w:hAnsi="仿宋_GB2312" w:eastAsia="仿宋_GB2312" w:cs="仿宋_GB2312"/>
          <w:b w:val="0"/>
          <w:color w:val="auto"/>
          <w:spacing w:val="-2"/>
          <w:sz w:val="32"/>
          <w:szCs w:val="32"/>
          <w:lang w:eastAsia="zh-CN"/>
        </w:rPr>
        <w:t>》《</w:t>
      </w:r>
      <w:r>
        <w:rPr>
          <w:rFonts w:hint="eastAsia" w:ascii="仿宋_GB2312" w:hAnsi="仿宋_GB2312" w:eastAsia="仿宋_GB2312" w:cs="仿宋_GB2312"/>
          <w:b w:val="0"/>
          <w:color w:val="auto"/>
          <w:spacing w:val="-2"/>
          <w:sz w:val="32"/>
          <w:szCs w:val="32"/>
        </w:rPr>
        <w:t>中华人民共和国飞行基本规则》和《民用航空情报工作规则》出版，是</w:t>
      </w:r>
      <w:r>
        <w:rPr>
          <w:rFonts w:hint="eastAsia" w:ascii="仿宋_GB2312" w:hAnsi="仿宋_GB2312" w:eastAsia="仿宋_GB2312" w:cs="仿宋_GB2312"/>
          <w:b w:val="0"/>
          <w:color w:val="auto"/>
          <w:spacing w:val="-2"/>
          <w:sz w:val="32"/>
          <w:szCs w:val="32"/>
          <w:lang w:eastAsia="zh-CN"/>
        </w:rPr>
        <w:t>中国民用</w:t>
      </w:r>
      <w:r>
        <w:rPr>
          <w:rFonts w:hint="eastAsia" w:ascii="仿宋_GB2312" w:hAnsi="仿宋_GB2312" w:eastAsia="仿宋_GB2312" w:cs="仿宋_GB2312"/>
          <w:b w:val="0"/>
          <w:color w:val="auto"/>
          <w:spacing w:val="-2"/>
          <w:sz w:val="32"/>
          <w:szCs w:val="32"/>
        </w:rPr>
        <w:t>航空器在境内飞行时必备的综合性技术资料。使用NAIP应遵守《民用航空情报工作规则》的相关要求。</w:t>
      </w:r>
    </w:p>
    <w:p w14:paraId="01F24F1C">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3"/>
          <w:sz w:val="32"/>
          <w:szCs w:val="32"/>
        </w:rPr>
      </w:pPr>
      <w:r>
        <w:rPr>
          <w:rFonts w:hint="eastAsia" w:ascii="仿宋_GB2312" w:hAnsi="仿宋_GB2312" w:eastAsia="仿宋_GB2312" w:cs="仿宋_GB2312"/>
          <w:b/>
          <w:bCs w:val="0"/>
          <w:color w:val="auto"/>
          <w:spacing w:val="-2"/>
          <w:sz w:val="32"/>
          <w:szCs w:val="32"/>
        </w:rPr>
        <w:t>航空资料定期颁发制（AIRAC）：</w:t>
      </w:r>
      <w:r>
        <w:rPr>
          <w:rFonts w:hint="eastAsia" w:ascii="仿宋_GB2312" w:hAnsi="仿宋_GB2312" w:eastAsia="仿宋_GB2312" w:cs="仿宋_GB2312"/>
          <w:b w:val="0"/>
          <w:color w:val="auto"/>
          <w:spacing w:val="-3"/>
          <w:sz w:val="32"/>
          <w:szCs w:val="32"/>
        </w:rPr>
        <w:t>航空运行活动需要做出重大调整时，按照航空资料共同生效日期提前发布通知的制度。</w:t>
      </w:r>
    </w:p>
    <w:p w14:paraId="4AF77B83">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官方数据：</w:t>
      </w:r>
      <w:r>
        <w:rPr>
          <w:rFonts w:hint="eastAsia" w:ascii="仿宋_GB2312" w:hAnsi="仿宋_GB2312" w:eastAsia="仿宋_GB2312" w:cs="仿宋_GB2312"/>
          <w:b w:val="0"/>
          <w:color w:val="auto"/>
          <w:spacing w:val="-2"/>
          <w:sz w:val="32"/>
          <w:szCs w:val="32"/>
        </w:rPr>
        <w:t>国家或地区航空情报部门提供的有关本国整个领土以及本国负责提供空中交通服务的公海上空地区的航空数据和航空情报。主要包括</w:t>
      </w:r>
      <w:r>
        <w:rPr>
          <w:rFonts w:hint="eastAsia" w:ascii="仿宋_GB2312" w:hAnsi="仿宋_GB2312" w:eastAsia="仿宋_GB2312" w:cs="仿宋_GB2312"/>
          <w:b w:val="0"/>
          <w:bCs w:val="0"/>
          <w:color w:val="auto"/>
          <w:spacing w:val="-2"/>
          <w:sz w:val="32"/>
          <w:szCs w:val="32"/>
        </w:rPr>
        <w:t>航空资料</w:t>
      </w:r>
      <w:r>
        <w:rPr>
          <w:rFonts w:hint="eastAsia" w:ascii="仿宋_GB2312" w:hAnsi="仿宋_GB2312" w:eastAsia="仿宋_GB2312" w:cs="仿宋_GB2312"/>
          <w:b w:val="0"/>
          <w:color w:val="auto"/>
          <w:spacing w:val="-2"/>
          <w:sz w:val="32"/>
          <w:szCs w:val="32"/>
        </w:rPr>
        <w:t>汇编（各国AIP</w:t>
      </w:r>
      <w:r>
        <w:rPr>
          <w:rFonts w:hint="eastAsia" w:ascii="仿宋_GB2312" w:hAnsi="仿宋_GB2312" w:eastAsia="仿宋_GB2312" w:cs="仿宋_GB2312"/>
          <w:b w:val="0"/>
          <w:color w:val="auto"/>
          <w:spacing w:val="-2"/>
          <w:sz w:val="32"/>
          <w:szCs w:val="32"/>
          <w:lang w:eastAsia="zh-CN"/>
        </w:rPr>
        <w:t>、</w:t>
      </w:r>
      <w:r>
        <w:rPr>
          <w:rFonts w:hint="eastAsia" w:ascii="仿宋_GB2312" w:hAnsi="仿宋_GB2312" w:eastAsia="仿宋_GB2312" w:cs="仿宋_GB2312"/>
          <w:b w:val="0"/>
          <w:color w:val="auto"/>
          <w:spacing w:val="-2"/>
          <w:sz w:val="32"/>
          <w:szCs w:val="32"/>
        </w:rPr>
        <w:t>中国AIP和NAIP）、修订/补充资料、航行通告及其他相关文件。</w:t>
      </w:r>
    </w:p>
    <w:p w14:paraId="07C9121F">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标准数据（Standard Data）：</w:t>
      </w:r>
      <w:r>
        <w:rPr>
          <w:rFonts w:hint="eastAsia" w:ascii="仿宋_GB2312" w:hAnsi="仿宋_GB2312" w:eastAsia="仿宋_GB2312" w:cs="仿宋_GB2312"/>
          <w:b w:val="0"/>
          <w:bCs w:val="0"/>
          <w:color w:val="auto"/>
          <w:spacing w:val="-2"/>
          <w:sz w:val="32"/>
          <w:szCs w:val="32"/>
        </w:rPr>
        <w:t>根据</w:t>
      </w:r>
      <w:r>
        <w:rPr>
          <w:rFonts w:hint="eastAsia" w:ascii="仿宋_GB2312" w:hAnsi="仿宋_GB2312" w:eastAsia="仿宋_GB2312" w:cs="仿宋_GB2312"/>
          <w:b w:val="0"/>
          <w:color w:val="auto"/>
          <w:spacing w:val="-2"/>
          <w:sz w:val="32"/>
          <w:szCs w:val="32"/>
        </w:rPr>
        <w:t>各</w:t>
      </w:r>
      <w:r>
        <w:rPr>
          <w:rFonts w:hint="eastAsia" w:ascii="仿宋_GB2312" w:hAnsi="仿宋_GB2312" w:eastAsia="仿宋_GB2312" w:cs="仿宋_GB2312"/>
          <w:b w:val="0"/>
          <w:bCs w:val="0"/>
          <w:color w:val="auto"/>
          <w:spacing w:val="-2"/>
          <w:sz w:val="32"/>
          <w:szCs w:val="32"/>
        </w:rPr>
        <w:t>国/地区官方公布的航空资料汇编</w:t>
      </w:r>
      <w:r>
        <w:rPr>
          <w:rFonts w:hint="eastAsia" w:ascii="仿宋_GB2312" w:hAnsi="仿宋_GB2312" w:eastAsia="仿宋_GB2312" w:cs="仿宋_GB2312"/>
          <w:b w:val="0"/>
          <w:color w:val="auto"/>
          <w:spacing w:val="-2"/>
          <w:sz w:val="32"/>
          <w:szCs w:val="32"/>
        </w:rPr>
        <w:t>（各国AIP</w:t>
      </w:r>
      <w:r>
        <w:rPr>
          <w:rFonts w:hint="eastAsia" w:ascii="仿宋_GB2312" w:hAnsi="仿宋_GB2312" w:eastAsia="仿宋_GB2312" w:cs="仿宋_GB2312"/>
          <w:b w:val="0"/>
          <w:color w:val="auto"/>
          <w:spacing w:val="-2"/>
          <w:sz w:val="32"/>
          <w:szCs w:val="32"/>
          <w:lang w:eastAsia="zh-CN"/>
        </w:rPr>
        <w:t>、</w:t>
      </w:r>
      <w:r>
        <w:rPr>
          <w:rFonts w:hint="eastAsia" w:ascii="仿宋_GB2312" w:hAnsi="仿宋_GB2312" w:eastAsia="仿宋_GB2312" w:cs="仿宋_GB2312"/>
          <w:b w:val="0"/>
          <w:color w:val="auto"/>
          <w:spacing w:val="-2"/>
          <w:sz w:val="32"/>
          <w:szCs w:val="32"/>
        </w:rPr>
        <w:t>中国AIP和NAIP）</w:t>
      </w:r>
      <w:r>
        <w:rPr>
          <w:rFonts w:hint="eastAsia" w:ascii="仿宋_GB2312" w:hAnsi="仿宋_GB2312" w:eastAsia="仿宋_GB2312" w:cs="仿宋_GB2312"/>
          <w:b w:val="0"/>
          <w:bCs w:val="0"/>
          <w:color w:val="auto"/>
          <w:spacing w:val="-2"/>
          <w:sz w:val="32"/>
          <w:szCs w:val="32"/>
        </w:rPr>
        <w:t>、修订</w:t>
      </w:r>
      <w:r>
        <w:rPr>
          <w:rFonts w:hint="eastAsia" w:ascii="仿宋_GB2312" w:hAnsi="仿宋_GB2312" w:eastAsia="仿宋_GB2312" w:cs="仿宋_GB2312"/>
          <w:b w:val="0"/>
          <w:color w:val="auto"/>
          <w:spacing w:val="-2"/>
          <w:sz w:val="32"/>
          <w:szCs w:val="32"/>
        </w:rPr>
        <w:t>/补充资料、航行通告及其他相关文件，由数据供应商按特定规范制作，可供所有航空运营人使用的航空数据。</w:t>
      </w:r>
    </w:p>
    <w:p w14:paraId="7F36E99B">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bCs w:val="0"/>
          <w:color w:val="auto"/>
          <w:spacing w:val="-2"/>
          <w:sz w:val="32"/>
          <w:szCs w:val="32"/>
        </w:rPr>
        <w:t>客户化数据（Tailored Data）：</w:t>
      </w:r>
      <w:r>
        <w:rPr>
          <w:rFonts w:hint="eastAsia" w:ascii="仿宋_GB2312" w:hAnsi="仿宋_GB2312" w:eastAsia="仿宋_GB2312" w:cs="仿宋_GB2312"/>
          <w:b w:val="0"/>
          <w:color w:val="auto"/>
          <w:spacing w:val="-2"/>
          <w:sz w:val="32"/>
          <w:szCs w:val="32"/>
        </w:rPr>
        <w:t>航空运营人</w:t>
      </w:r>
      <w:r>
        <w:rPr>
          <w:rFonts w:hint="eastAsia" w:ascii="仿宋_GB2312" w:hAnsi="仿宋_GB2312" w:eastAsia="仿宋_GB2312" w:cs="仿宋_GB2312"/>
          <w:b w:val="0"/>
          <w:bCs w:val="0"/>
          <w:color w:val="auto"/>
          <w:spacing w:val="-2"/>
          <w:sz w:val="32"/>
          <w:szCs w:val="32"/>
        </w:rPr>
        <w:t>根据</w:t>
      </w:r>
      <w:r>
        <w:rPr>
          <w:rFonts w:hint="eastAsia" w:ascii="仿宋_GB2312" w:hAnsi="仿宋_GB2312" w:eastAsia="仿宋_GB2312" w:cs="仿宋_GB2312"/>
          <w:b w:val="0"/>
          <w:color w:val="auto"/>
          <w:spacing w:val="-2"/>
          <w:sz w:val="32"/>
          <w:szCs w:val="32"/>
        </w:rPr>
        <w:t>特有的需求，经数据供应商进行定制化处理后，仅供航空运营人自身使用</w:t>
      </w:r>
      <w:r>
        <w:rPr>
          <w:rFonts w:hint="eastAsia" w:ascii="仿宋_GB2312" w:hAnsi="仿宋_GB2312" w:eastAsia="仿宋_GB2312" w:cs="仿宋_GB2312"/>
          <w:b w:val="0"/>
          <w:color w:val="auto"/>
          <w:spacing w:val="-2"/>
          <w:sz w:val="32"/>
          <w:szCs w:val="32"/>
          <w:lang w:eastAsia="zh-CN"/>
        </w:rPr>
        <w:t>的航空</w:t>
      </w:r>
      <w:r>
        <w:rPr>
          <w:rFonts w:hint="eastAsia" w:ascii="仿宋_GB2312" w:hAnsi="仿宋_GB2312" w:eastAsia="仿宋_GB2312" w:cs="仿宋_GB2312"/>
          <w:b w:val="0"/>
          <w:color w:val="auto"/>
          <w:spacing w:val="-2"/>
          <w:sz w:val="32"/>
          <w:szCs w:val="32"/>
        </w:rPr>
        <w:t>数据。</w:t>
      </w:r>
    </w:p>
    <w:p w14:paraId="552DEF39">
      <w:pPr>
        <w:pStyle w:val="6"/>
        <w:tabs>
          <w:tab w:val="left" w:pos="8580"/>
        </w:tabs>
        <w:spacing w:line="360" w:lineRule="auto"/>
        <w:ind w:left="0" w:right="440" w:rightChars="200" w:firstLine="635"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bCs w:val="0"/>
          <w:color w:val="auto"/>
          <w:spacing w:val="-2"/>
          <w:sz w:val="32"/>
          <w:szCs w:val="32"/>
        </w:rPr>
        <w:t>飞行管理系统（FMS）：</w:t>
      </w:r>
      <w:r>
        <w:rPr>
          <w:rFonts w:hint="eastAsia" w:ascii="仿宋_GB2312" w:hAnsi="仿宋_GB2312" w:eastAsia="仿宋_GB2312" w:cs="仿宋_GB2312"/>
          <w:b w:val="0"/>
          <w:color w:val="auto"/>
          <w:spacing w:val="-2"/>
          <w:sz w:val="32"/>
          <w:szCs w:val="32"/>
        </w:rPr>
        <w:t>集成了航空器导航管理和性能管理功能的机载计算机管理系统，为自动驾驶仪/飞机驾驶员提供操控航空器指令、导航信息和飞行指引信息、提醒和告警信息等。导航信息和飞行指引信息来源于机载导航传感器、机载导航数据库、飞行计划、航行情报服务数据、人工输入数据等。</w:t>
      </w:r>
    </w:p>
    <w:p w14:paraId="4B733903">
      <w:pPr>
        <w:pStyle w:val="2"/>
        <w:tabs>
          <w:tab w:val="left" w:pos="8580"/>
        </w:tabs>
        <w:spacing w:before="100" w:beforeAutospacing="1" w:after="100" w:afterAutospacing="1" w:line="240" w:lineRule="auto"/>
        <w:ind w:right="440" w:rightChars="200"/>
        <w:rPr>
          <w:rFonts w:hint="eastAsia" w:ascii="黑体" w:hAnsi="黑体" w:cs="黑体"/>
          <w:b w:val="0"/>
          <w:bCs w:val="0"/>
          <w:color w:val="auto"/>
          <w:sz w:val="32"/>
          <w:szCs w:val="32"/>
        </w:rPr>
      </w:pPr>
      <w:bookmarkStart w:id="31" w:name="_Toc8039"/>
      <w:bookmarkStart w:id="32" w:name="_Toc9123"/>
      <w:bookmarkStart w:id="33" w:name="_Toc21671"/>
      <w:bookmarkStart w:id="34" w:name="_Toc11932"/>
      <w:bookmarkStart w:id="35" w:name="_Toc10700"/>
      <w:bookmarkStart w:id="36" w:name="_Toc5357"/>
      <w:r>
        <w:rPr>
          <w:rFonts w:hint="eastAsia" w:ascii="黑体" w:hAnsi="黑体" w:cs="黑体"/>
          <w:b w:val="0"/>
          <w:bCs w:val="0"/>
          <w:color w:val="auto"/>
          <w:sz w:val="32"/>
          <w:szCs w:val="32"/>
          <w:lang w:val="en-US" w:eastAsia="zh-CN"/>
        </w:rPr>
        <w:t>6</w:t>
      </w:r>
      <w:r>
        <w:rPr>
          <w:rFonts w:hint="eastAsia" w:ascii="黑体" w:hAnsi="黑体" w:cs="黑体"/>
          <w:b w:val="0"/>
          <w:bCs w:val="0"/>
          <w:color w:val="auto"/>
          <w:sz w:val="32"/>
          <w:szCs w:val="32"/>
        </w:rPr>
        <w:t>.航空运营人导航数据库质量管理</w:t>
      </w:r>
      <w:bookmarkEnd w:id="31"/>
      <w:bookmarkEnd w:id="32"/>
      <w:bookmarkEnd w:id="33"/>
      <w:bookmarkEnd w:id="34"/>
      <w:bookmarkEnd w:id="35"/>
      <w:bookmarkEnd w:id="36"/>
    </w:p>
    <w:p w14:paraId="5AC1FAD8">
      <w:pPr>
        <w:pStyle w:val="3"/>
        <w:tabs>
          <w:tab w:val="left" w:pos="8580"/>
        </w:tabs>
        <w:spacing w:before="100" w:beforeAutospacing="1" w:after="100" w:afterAutospacing="1" w:line="240" w:lineRule="auto"/>
        <w:ind w:right="440" w:rightChars="200"/>
        <w:rPr>
          <w:rFonts w:hint="eastAsia" w:ascii="黑体" w:hAnsi="黑体" w:eastAsia="黑体" w:cs="黑体"/>
          <w:b w:val="0"/>
          <w:bCs w:val="0"/>
          <w:color w:val="auto"/>
          <w:spacing w:val="0"/>
          <w:sz w:val="32"/>
          <w:szCs w:val="32"/>
        </w:rPr>
      </w:pPr>
      <w:bookmarkStart w:id="37" w:name="_Toc13641"/>
      <w:bookmarkStart w:id="38" w:name="_Toc31369"/>
      <w:bookmarkStart w:id="39" w:name="_Toc24490"/>
      <w:bookmarkStart w:id="40" w:name="_Toc626"/>
      <w:bookmarkStart w:id="41" w:name="_Toc14436"/>
      <w:bookmarkStart w:id="42" w:name="_Toc6076"/>
      <w:r>
        <w:rPr>
          <w:rFonts w:hint="eastAsia" w:ascii="黑体" w:hAnsi="黑体" w:eastAsia="黑体" w:cs="黑体"/>
          <w:b w:val="0"/>
          <w:bCs w:val="0"/>
          <w:color w:val="auto"/>
          <w:spacing w:val="0"/>
          <w:sz w:val="32"/>
          <w:szCs w:val="32"/>
          <w:lang w:val="en-US" w:eastAsia="zh-CN"/>
        </w:rPr>
        <w:t>6</w:t>
      </w:r>
      <w:r>
        <w:rPr>
          <w:rFonts w:hint="eastAsia" w:ascii="黑体" w:hAnsi="黑体" w:eastAsia="黑体" w:cs="黑体"/>
          <w:b w:val="0"/>
          <w:bCs w:val="0"/>
          <w:color w:val="auto"/>
          <w:spacing w:val="0"/>
          <w:sz w:val="32"/>
          <w:szCs w:val="32"/>
        </w:rPr>
        <w:t>.1 组织机构与职责</w:t>
      </w:r>
      <w:bookmarkEnd w:id="37"/>
      <w:bookmarkEnd w:id="38"/>
      <w:bookmarkEnd w:id="39"/>
      <w:bookmarkEnd w:id="40"/>
      <w:bookmarkEnd w:id="41"/>
      <w:bookmarkEnd w:id="42"/>
    </w:p>
    <w:p w14:paraId="08990E8E">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color w:val="auto"/>
          <w:sz w:val="32"/>
        </w:rPr>
      </w:pPr>
      <w:bookmarkStart w:id="43" w:name="_Toc25183"/>
      <w:bookmarkStart w:id="44" w:name="_Toc25009"/>
      <w:bookmarkStart w:id="45" w:name="_Toc12591"/>
      <w:bookmarkStart w:id="46" w:name="_Toc28556"/>
      <w:bookmarkStart w:id="47" w:name="_Toc12388"/>
      <w:bookmarkStart w:id="48" w:name="_Toc3105"/>
      <w:r>
        <w:rPr>
          <w:rFonts w:hint="eastAsia" w:ascii="仿宋_GB2312" w:hAnsi="仿宋_GB2312" w:eastAsia="仿宋_GB2312" w:cs="仿宋_GB2312"/>
          <w:color w:val="auto"/>
          <w:sz w:val="32"/>
          <w:lang w:val="en-US" w:eastAsia="zh-CN"/>
        </w:rPr>
        <w:t>6</w:t>
      </w:r>
      <w:r>
        <w:rPr>
          <w:rFonts w:hint="eastAsia" w:ascii="仿宋_GB2312" w:hAnsi="仿宋_GB2312" w:eastAsia="仿宋_GB2312" w:cs="仿宋_GB2312"/>
          <w:color w:val="auto"/>
          <w:sz w:val="32"/>
        </w:rPr>
        <w:t>.1.1 组织机构</w:t>
      </w:r>
      <w:bookmarkEnd w:id="43"/>
      <w:bookmarkEnd w:id="44"/>
      <w:bookmarkEnd w:id="45"/>
      <w:bookmarkEnd w:id="46"/>
      <w:bookmarkEnd w:id="47"/>
      <w:bookmarkEnd w:id="48"/>
    </w:p>
    <w:p w14:paraId="3B034907">
      <w:pPr>
        <w:pStyle w:val="6"/>
        <w:tabs>
          <w:tab w:val="left" w:pos="8580"/>
        </w:tabs>
        <w:spacing w:line="360" w:lineRule="auto"/>
        <w:ind w:left="0" w:right="440" w:rightChars="200" w:firstLine="641" w:firstLineChars="203"/>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航空运营人应设置导航数据库管理机构、配备导航数据库管理人员及适当的设施设备、数据库管理工具等。航空运营人应根据机队规模、运行范围、导航数据库种类及数量等因素，合理设置导航数据库管理人员数量，保证导航数据库的有序管理。</w:t>
      </w:r>
    </w:p>
    <w:p w14:paraId="7F52C40D">
      <w:pPr>
        <w:tabs>
          <w:tab w:val="left" w:pos="8580"/>
        </w:tabs>
        <w:spacing w:line="360" w:lineRule="auto"/>
        <w:ind w:right="440" w:rightChars="200" w:firstLine="63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pacing w:val="-2"/>
          <w:sz w:val="32"/>
          <w:szCs w:val="32"/>
        </w:rPr>
        <w:t>航空运营人导航数据库管理机构负责导航数据库管理工作的具体组织与实施，机务部门负责机载导航数据库的装载。航空运营人的飞行、标准、机务、模拟机等相关职能部门，应协助导航数据库管理机构开展导航数据库管理工作。</w:t>
      </w:r>
    </w:p>
    <w:p w14:paraId="2D673978">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color w:val="auto"/>
          <w:sz w:val="32"/>
        </w:rPr>
      </w:pPr>
      <w:bookmarkStart w:id="49" w:name="_Toc20361"/>
      <w:bookmarkStart w:id="50" w:name="_Toc18832"/>
      <w:bookmarkStart w:id="51" w:name="_Toc21122"/>
      <w:bookmarkStart w:id="52" w:name="_Toc25124"/>
      <w:bookmarkStart w:id="53" w:name="_Toc6670"/>
      <w:bookmarkStart w:id="54" w:name="_Toc29508"/>
      <w:r>
        <w:rPr>
          <w:rFonts w:hint="eastAsia" w:ascii="仿宋_GB2312" w:hAnsi="仿宋_GB2312" w:eastAsia="仿宋_GB2312" w:cs="仿宋_GB2312"/>
          <w:color w:val="auto"/>
          <w:sz w:val="32"/>
          <w:lang w:val="en-US" w:eastAsia="zh-CN"/>
        </w:rPr>
        <w:t>6</w:t>
      </w:r>
      <w:r>
        <w:rPr>
          <w:rFonts w:hint="eastAsia" w:ascii="仿宋_GB2312" w:hAnsi="仿宋_GB2312" w:eastAsia="仿宋_GB2312" w:cs="仿宋_GB2312"/>
          <w:color w:val="auto"/>
          <w:sz w:val="32"/>
        </w:rPr>
        <w:t>.1.2 职责</w:t>
      </w:r>
      <w:bookmarkEnd w:id="49"/>
      <w:bookmarkEnd w:id="50"/>
      <w:bookmarkEnd w:id="51"/>
      <w:bookmarkEnd w:id="52"/>
      <w:bookmarkEnd w:id="53"/>
      <w:bookmarkEnd w:id="54"/>
    </w:p>
    <w:p w14:paraId="1C116D7D">
      <w:pPr>
        <w:tabs>
          <w:tab w:val="left" w:pos="8580"/>
        </w:tabs>
        <w:spacing w:line="360" w:lineRule="auto"/>
        <w:ind w:right="440" w:rightChars="200" w:firstLine="632" w:firstLineChars="200"/>
        <w:rPr>
          <w:rFonts w:hint="eastAsia" w:ascii="仿宋_GB2312" w:hAnsi="仿宋_GB2312" w:eastAsia="仿宋_GB2312" w:cs="仿宋_GB2312"/>
          <w:b w:val="0"/>
          <w:bCs/>
          <w:color w:val="auto"/>
          <w:spacing w:val="-2"/>
          <w:sz w:val="32"/>
          <w:szCs w:val="32"/>
        </w:rPr>
      </w:pPr>
      <w:r>
        <w:rPr>
          <w:rFonts w:hint="eastAsia" w:ascii="仿宋_GB2312" w:hAnsi="仿宋_GB2312" w:eastAsia="仿宋_GB2312" w:cs="仿宋_GB2312"/>
          <w:b w:val="0"/>
          <w:bCs/>
          <w:color w:val="auto"/>
          <w:spacing w:val="-2"/>
          <w:sz w:val="32"/>
          <w:szCs w:val="32"/>
        </w:rPr>
        <w:t>航空运营人应及时更新导航数据库，并最终负责确保导航数据满足其预期应用的质量要求。</w:t>
      </w:r>
    </w:p>
    <w:p w14:paraId="64D4E0C1">
      <w:pPr>
        <w:tabs>
          <w:tab w:val="left" w:pos="8580"/>
        </w:tabs>
        <w:spacing w:line="360" w:lineRule="auto"/>
        <w:ind w:right="440" w:rightChars="200" w:firstLine="632" w:firstLineChars="200"/>
        <w:rPr>
          <w:rFonts w:hint="eastAsia" w:ascii="仿宋_GB2312" w:hAnsi="仿宋_GB2312" w:eastAsia="仿宋_GB2312" w:cs="仿宋_GB2312"/>
          <w:b/>
          <w:color w:val="auto"/>
          <w:spacing w:val="-2"/>
          <w:sz w:val="32"/>
          <w:szCs w:val="32"/>
        </w:rPr>
      </w:pPr>
      <w:r>
        <w:rPr>
          <w:rFonts w:hint="eastAsia" w:ascii="仿宋_GB2312" w:hAnsi="仿宋_GB2312" w:eastAsia="仿宋_GB2312" w:cs="仿宋_GB2312"/>
          <w:bCs/>
          <w:color w:val="auto"/>
          <w:spacing w:val="-2"/>
          <w:sz w:val="32"/>
          <w:szCs w:val="32"/>
        </w:rPr>
        <w:t>航空运营人应根据本规范要求，建立针对导航数据库管理工作的质量管理程序和规定，明确本公司负责导航数据库质量管理的高级管理人员和相关岗位人员的职责，并纳入本公司手册体系中，以确保：</w:t>
      </w:r>
    </w:p>
    <w:p w14:paraId="4F0A66BC">
      <w:pPr>
        <w:pStyle w:val="6"/>
        <w:tabs>
          <w:tab w:val="left" w:pos="8580"/>
        </w:tabs>
        <w:spacing w:line="360" w:lineRule="auto"/>
        <w:ind w:left="0" w:right="440" w:rightChars="200" w:firstLine="632"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（1）从数据供应商接收的数据满足数据质量要求；</w:t>
      </w:r>
    </w:p>
    <w:p w14:paraId="450BDB92">
      <w:pPr>
        <w:pStyle w:val="6"/>
        <w:tabs>
          <w:tab w:val="left" w:pos="8580"/>
        </w:tabs>
        <w:spacing w:line="360" w:lineRule="auto"/>
        <w:ind w:left="0" w:right="440" w:rightChars="200" w:firstLine="632"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（2）制定的数据库管理程序得到有效实施；</w:t>
      </w:r>
    </w:p>
    <w:p w14:paraId="3C6B1967">
      <w:pPr>
        <w:pStyle w:val="6"/>
        <w:tabs>
          <w:tab w:val="left" w:pos="8580"/>
        </w:tabs>
        <w:spacing w:line="360" w:lineRule="auto"/>
        <w:ind w:left="0" w:right="440" w:rightChars="200" w:firstLine="632"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（3）正确执行管理程序，不发生未经授权的偏离；</w:t>
      </w:r>
    </w:p>
    <w:p w14:paraId="5627308B">
      <w:pPr>
        <w:pStyle w:val="6"/>
        <w:tabs>
          <w:tab w:val="left" w:pos="8580"/>
        </w:tabs>
        <w:spacing w:line="360" w:lineRule="auto"/>
        <w:ind w:left="0" w:right="440" w:rightChars="200" w:firstLine="632"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（4）正确实施</w:t>
      </w:r>
      <w:r>
        <w:rPr>
          <w:rFonts w:hint="eastAsia" w:ascii="仿宋_GB2312" w:hAnsi="仿宋_GB2312" w:eastAsia="仿宋_GB2312" w:cs="仿宋_GB2312"/>
          <w:b w:val="0"/>
          <w:color w:val="auto"/>
          <w:spacing w:val="-2"/>
          <w:sz w:val="32"/>
          <w:szCs w:val="32"/>
          <w:lang w:val="en-US" w:eastAsia="zh-CN"/>
        </w:rPr>
        <w:t>审计</w:t>
      </w:r>
      <w:r>
        <w:rPr>
          <w:rFonts w:hint="eastAsia" w:ascii="仿宋_GB2312" w:hAnsi="仿宋_GB2312" w:eastAsia="仿宋_GB2312" w:cs="仿宋_GB2312"/>
          <w:b w:val="0"/>
          <w:color w:val="auto"/>
          <w:spacing w:val="-2"/>
          <w:sz w:val="32"/>
          <w:szCs w:val="32"/>
        </w:rPr>
        <w:t>和控制措施。</w:t>
      </w:r>
    </w:p>
    <w:p w14:paraId="15B53246">
      <w:pPr>
        <w:pStyle w:val="3"/>
        <w:tabs>
          <w:tab w:val="left" w:pos="8580"/>
        </w:tabs>
        <w:spacing w:before="100" w:beforeAutospacing="1" w:after="100" w:afterAutospacing="1" w:line="240" w:lineRule="auto"/>
        <w:ind w:right="440" w:rightChars="200"/>
        <w:rPr>
          <w:rFonts w:hint="eastAsia" w:ascii="黑体" w:hAnsi="黑体" w:eastAsia="黑体" w:cs="黑体"/>
          <w:b w:val="0"/>
          <w:bCs w:val="0"/>
          <w:color w:val="auto"/>
          <w:spacing w:val="0"/>
          <w:sz w:val="32"/>
          <w:szCs w:val="32"/>
        </w:rPr>
      </w:pPr>
      <w:bookmarkStart w:id="55" w:name="_Toc13961"/>
      <w:bookmarkStart w:id="56" w:name="_Toc30931"/>
      <w:bookmarkStart w:id="57" w:name="_Toc1725"/>
      <w:bookmarkStart w:id="58" w:name="_Toc3577"/>
      <w:bookmarkStart w:id="59" w:name="_Toc31645"/>
      <w:bookmarkStart w:id="60" w:name="_Toc6064"/>
      <w:r>
        <w:rPr>
          <w:rFonts w:hint="eastAsia" w:ascii="黑体" w:hAnsi="黑体" w:eastAsia="黑体" w:cs="黑体"/>
          <w:b w:val="0"/>
          <w:bCs w:val="0"/>
          <w:color w:val="auto"/>
          <w:spacing w:val="0"/>
          <w:sz w:val="32"/>
          <w:szCs w:val="32"/>
          <w:lang w:val="en-US" w:eastAsia="zh-CN"/>
        </w:rPr>
        <w:t>6</w:t>
      </w:r>
      <w:r>
        <w:rPr>
          <w:rFonts w:hint="eastAsia" w:ascii="黑体" w:hAnsi="黑体" w:eastAsia="黑体" w:cs="黑体"/>
          <w:b w:val="0"/>
          <w:bCs w:val="0"/>
          <w:color w:val="auto"/>
          <w:spacing w:val="0"/>
          <w:sz w:val="32"/>
          <w:szCs w:val="32"/>
        </w:rPr>
        <w:t>.2 质量管理程序要求</w:t>
      </w:r>
      <w:bookmarkEnd w:id="55"/>
      <w:bookmarkEnd w:id="56"/>
      <w:bookmarkEnd w:id="57"/>
      <w:bookmarkEnd w:id="58"/>
      <w:bookmarkEnd w:id="59"/>
      <w:bookmarkEnd w:id="60"/>
    </w:p>
    <w:p w14:paraId="081ADC36">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航空运营人须按照本管理规范及相关法规要求，制定本公司导航数据库质量管理程序。主要包括：</w:t>
      </w:r>
    </w:p>
    <w:p w14:paraId="658542B8">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（1）明确导航数据库的数据质量要求</w:t>
      </w:r>
      <w:r>
        <w:rPr>
          <w:rFonts w:hint="eastAsia" w:ascii="仿宋_GB2312" w:hAnsi="仿宋_GB2312" w:eastAsia="仿宋_GB2312" w:cs="仿宋_GB2312"/>
          <w:b w:val="0"/>
          <w:color w:val="auto"/>
          <w:sz w:val="32"/>
          <w:szCs w:val="32"/>
          <w:lang w:eastAsia="zh-CN"/>
        </w:rPr>
        <w:t>；</w:t>
      </w:r>
    </w:p>
    <w:p w14:paraId="1515BB0B">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（2）导航数据库数据供应商的管理；</w:t>
      </w:r>
    </w:p>
    <w:p w14:paraId="59018808">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（3）导航数据库相关软硬件的管理；</w:t>
      </w:r>
    </w:p>
    <w:p w14:paraId="11B9EF2F">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（4）导航</w:t>
      </w:r>
      <w:bookmarkStart w:id="212" w:name="_GoBack"/>
      <w:bookmarkEnd w:id="212"/>
      <w:r>
        <w:rPr>
          <w:rFonts w:hint="eastAsia" w:ascii="仿宋_GB2312" w:hAnsi="仿宋_GB2312" w:eastAsia="仿宋_GB2312" w:cs="仿宋_GB2312"/>
          <w:b w:val="0"/>
          <w:color w:val="auto"/>
          <w:sz w:val="32"/>
          <w:szCs w:val="32"/>
        </w:rPr>
        <w:t>数据库工作程序的管理；</w:t>
      </w:r>
    </w:p>
    <w:p w14:paraId="0BDFED12">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（5）人员能力管理；</w:t>
      </w:r>
    </w:p>
    <w:p w14:paraId="09351BD5">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（6）建立有关文件管理、质量记录、质量</w:t>
      </w:r>
      <w:r>
        <w:rPr>
          <w:rFonts w:hint="eastAsia" w:ascii="仿宋_GB2312" w:hAnsi="仿宋_GB2312" w:eastAsia="仿宋_GB2312" w:cs="仿宋_GB2312"/>
          <w:b w:val="0"/>
          <w:color w:val="auto"/>
          <w:sz w:val="32"/>
          <w:szCs w:val="32"/>
          <w:lang w:val="en-US" w:eastAsia="zh-CN"/>
        </w:rPr>
        <w:t>审计</w:t>
      </w:r>
      <w:r>
        <w:rPr>
          <w:rFonts w:hint="eastAsia" w:ascii="仿宋_GB2312" w:hAnsi="仿宋_GB2312" w:eastAsia="仿宋_GB2312" w:cs="仿宋_GB2312"/>
          <w:b w:val="0"/>
          <w:color w:val="auto"/>
          <w:sz w:val="32"/>
          <w:szCs w:val="32"/>
        </w:rPr>
        <w:t>的相关规定。</w:t>
      </w:r>
    </w:p>
    <w:p w14:paraId="5BCB92DC">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szCs w:val="32"/>
        </w:rPr>
      </w:pPr>
      <w:bookmarkStart w:id="61" w:name="_Toc9494"/>
      <w:bookmarkStart w:id="62" w:name="_Toc17203"/>
      <w:bookmarkStart w:id="63" w:name="_Toc7383"/>
      <w:bookmarkStart w:id="64" w:name="_Toc172"/>
      <w:bookmarkStart w:id="65" w:name="_Toc8182"/>
      <w:bookmarkStart w:id="66" w:name="_Toc4001"/>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.2.1 导航数据库数据质量要求</w:t>
      </w:r>
      <w:bookmarkEnd w:id="61"/>
      <w:bookmarkEnd w:id="62"/>
      <w:bookmarkEnd w:id="63"/>
      <w:bookmarkEnd w:id="64"/>
      <w:bookmarkEnd w:id="65"/>
      <w:bookmarkEnd w:id="66"/>
    </w:p>
    <w:p w14:paraId="0E8EEF56">
      <w:pPr>
        <w:pStyle w:val="6"/>
        <w:tabs>
          <w:tab w:val="left" w:pos="8580"/>
        </w:tabs>
        <w:spacing w:line="360" w:lineRule="auto"/>
        <w:ind w:left="0" w:right="440" w:rightChars="200" w:firstLine="561"/>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z w:val="32"/>
          <w:szCs w:val="32"/>
        </w:rPr>
        <w:t>根据</w:t>
      </w:r>
      <w:r>
        <w:rPr>
          <w:rFonts w:hint="eastAsia" w:ascii="仿宋_GB2312" w:hAnsi="仿宋_GB2312" w:eastAsia="仿宋_GB2312" w:cs="仿宋_GB2312"/>
          <w:b w:val="0"/>
          <w:color w:val="auto"/>
          <w:sz w:val="32"/>
          <w:szCs w:val="32"/>
          <w:lang w:eastAsia="zh-CN"/>
        </w:rPr>
        <w:t>RTCA/DO-200( )</w:t>
      </w:r>
      <w:r>
        <w:rPr>
          <w:rFonts w:hint="eastAsia" w:ascii="仿宋_GB2312" w:hAnsi="仿宋_GB2312" w:eastAsia="仿宋_GB2312" w:cs="仿宋_GB2312"/>
          <w:b w:val="0"/>
          <w:color w:val="auto"/>
          <w:sz w:val="32"/>
          <w:szCs w:val="32"/>
        </w:rPr>
        <w:t>，DQR是基于数据应用的预期功能所定义的。对于导航数据，在区域导航设备适航批准时，由设备申请人负责定义载入导航数据库的数据质量的最低要求。在航</w:t>
      </w:r>
      <w:r>
        <w:rPr>
          <w:rFonts w:hint="eastAsia" w:ascii="仿宋_GB2312" w:hAnsi="仿宋_GB2312" w:eastAsia="仿宋_GB2312" w:cs="仿宋_GB2312"/>
          <w:b w:val="0"/>
          <w:color w:val="auto"/>
          <w:spacing w:val="-2"/>
          <w:sz w:val="32"/>
          <w:szCs w:val="32"/>
        </w:rPr>
        <w:t>空数据链中，通常是由应用集成商（或航电设备制造商）定义或协调相关方定义DQR。</w:t>
      </w:r>
    </w:p>
    <w:p w14:paraId="19400D28">
      <w:pPr>
        <w:pStyle w:val="6"/>
        <w:tabs>
          <w:tab w:val="left" w:pos="8580"/>
        </w:tabs>
        <w:spacing w:line="360" w:lineRule="auto"/>
        <w:ind w:left="0" w:right="440" w:rightChars="200" w:firstLine="561"/>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航空运营人作为航空数据链中的最终用户，应确保DQR得到了定义且适用于预期用途。航空运营人从持有中国民航导航数据库</w:t>
      </w:r>
      <w:r>
        <w:rPr>
          <w:rFonts w:hint="eastAsia" w:ascii="仿宋_GB2312" w:hAnsi="仿宋_GB2312" w:eastAsia="仿宋_GB2312" w:cs="仿宋_GB2312"/>
          <w:b w:val="0"/>
          <w:color w:val="auto"/>
          <w:sz w:val="32"/>
          <w:szCs w:val="32"/>
          <w:highlight w:val="none"/>
        </w:rPr>
        <w:t>2类CTSOA</w:t>
      </w:r>
      <w:r>
        <w:rPr>
          <w:rFonts w:hint="eastAsia" w:ascii="Times New Roman" w:hAnsi="Times New Roman" w:eastAsia="仿宋" w:cs="Times New Roman"/>
          <w:b w:val="0"/>
          <w:color w:val="000000" w:themeColor="text1"/>
          <w:sz w:val="32"/>
          <w:szCs w:val="32"/>
          <w14:textFill>
            <w14:solidFill>
              <w14:schemeClr w14:val="tx1"/>
            </w14:solidFill>
          </w14:textFill>
        </w:rPr>
        <w:t>或</w:t>
      </w:r>
      <w:r>
        <w:rPr>
          <w:rFonts w:hint="eastAsia" w:ascii="Times New Roman" w:hAnsi="Times New Roman" w:eastAsia="仿宋" w:cs="Times New Roman"/>
          <w:b w:val="0"/>
          <w:color w:val="000000" w:themeColor="text1"/>
          <w:sz w:val="32"/>
          <w:szCs w:val="32"/>
          <w:lang w:val="en-US" w:eastAsia="zh-CN"/>
          <w14:textFill>
            <w14:solidFill>
              <w14:schemeClr w14:val="tx1"/>
            </w14:solidFill>
          </w14:textFill>
        </w:rPr>
        <w:t>民航局</w:t>
      </w:r>
      <w:r>
        <w:rPr>
          <w:rFonts w:hint="eastAsia" w:ascii="Times New Roman" w:hAnsi="Times New Roman" w:eastAsia="仿宋" w:cs="Times New Roman"/>
          <w:b w:val="0"/>
          <w:color w:val="000000" w:themeColor="text1"/>
          <w:sz w:val="32"/>
          <w:szCs w:val="32"/>
          <w14:textFill>
            <w14:solidFill>
              <w14:schemeClr w14:val="tx1"/>
            </w14:solidFill>
          </w14:textFill>
        </w:rPr>
        <w:t>其他方式</w:t>
      </w:r>
      <w:r>
        <w:rPr>
          <w:rFonts w:hint="eastAsia" w:ascii="Times New Roman" w:hAnsi="Times New Roman" w:eastAsia="仿宋" w:cs="Times New Roman"/>
          <w:b w:val="0"/>
          <w:color w:val="000000" w:themeColor="text1"/>
          <w:sz w:val="32"/>
          <w:szCs w:val="32"/>
          <w:lang w:val="en-US" w:eastAsia="zh-CN"/>
          <w14:textFill>
            <w14:solidFill>
              <w14:schemeClr w14:val="tx1"/>
            </w14:solidFill>
          </w14:textFill>
        </w:rPr>
        <w:t>同意</w:t>
      </w:r>
      <w:r>
        <w:rPr>
          <w:rFonts w:hint="eastAsia" w:ascii="仿宋_GB2312" w:hAnsi="仿宋_GB2312" w:eastAsia="仿宋_GB2312" w:cs="仿宋_GB2312"/>
          <w:b w:val="0"/>
          <w:color w:val="auto"/>
          <w:sz w:val="32"/>
          <w:szCs w:val="32"/>
        </w:rPr>
        <w:t>的数据供应商处获取导航数据</w:t>
      </w:r>
      <w:r>
        <w:rPr>
          <w:rFonts w:hint="eastAsia" w:ascii="仿宋_GB2312" w:hAnsi="仿宋_GB2312" w:eastAsia="仿宋_GB2312" w:cs="仿宋_GB2312"/>
          <w:b w:val="0"/>
          <w:color w:val="auto"/>
          <w:sz w:val="32"/>
          <w:szCs w:val="32"/>
          <w:lang w:val="en-US" w:eastAsia="zh-CN"/>
        </w:rPr>
        <w:t>库</w:t>
      </w:r>
      <w:r>
        <w:rPr>
          <w:rFonts w:hint="eastAsia" w:ascii="仿宋_GB2312" w:hAnsi="仿宋_GB2312" w:eastAsia="仿宋_GB2312" w:cs="仿宋_GB2312"/>
          <w:b w:val="0"/>
          <w:color w:val="auto"/>
          <w:sz w:val="32"/>
          <w:szCs w:val="32"/>
        </w:rPr>
        <w:t>，可在很大程度上满足该要求。</w:t>
      </w:r>
    </w:p>
    <w:p w14:paraId="71D32ED8">
      <w:pPr>
        <w:pStyle w:val="6"/>
        <w:tabs>
          <w:tab w:val="left" w:pos="8580"/>
        </w:tabs>
        <w:spacing w:line="360" w:lineRule="auto"/>
        <w:ind w:left="0" w:right="440" w:rightChars="200" w:firstLine="561"/>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需要强调的是，航空运营人对数据质量要求中的完整性要求和时效性要求负有最终责任。由于国家航空情报部门发布航空数据遵循AIRAC周期，且机载导航数据库通常存在容量限制，因此航空运营人应根据运行需要定义数据的完整性和时效性要求，</w:t>
      </w:r>
      <w:r>
        <w:rPr>
          <w:rFonts w:hint="eastAsia" w:ascii="仿宋_GB2312" w:hAnsi="仿宋_GB2312" w:eastAsia="仿宋_GB2312" w:cs="仿宋_GB2312"/>
          <w:b w:val="0"/>
          <w:color w:val="auto"/>
          <w:sz w:val="32"/>
          <w:szCs w:val="32"/>
          <w:lang w:eastAsia="zh-CN"/>
        </w:rPr>
        <w:t>或接收数据</w:t>
      </w:r>
      <w:r>
        <w:rPr>
          <w:rFonts w:hint="eastAsia" w:ascii="仿宋_GB2312" w:hAnsi="仿宋_GB2312" w:eastAsia="仿宋_GB2312" w:cs="仿宋_GB2312"/>
          <w:b w:val="0"/>
          <w:color w:val="auto"/>
          <w:sz w:val="32"/>
          <w:szCs w:val="32"/>
        </w:rPr>
        <w:t>供应商所定义的要求，确保从数据供应商处获取的导航数据</w:t>
      </w:r>
      <w:r>
        <w:rPr>
          <w:rFonts w:hint="eastAsia" w:ascii="仿宋_GB2312" w:hAnsi="仿宋_GB2312" w:eastAsia="仿宋_GB2312" w:cs="仿宋_GB2312"/>
          <w:b w:val="0"/>
          <w:color w:val="auto"/>
          <w:sz w:val="32"/>
          <w:szCs w:val="32"/>
          <w:lang w:val="en-US" w:eastAsia="zh-CN"/>
        </w:rPr>
        <w:t>库</w:t>
      </w:r>
      <w:r>
        <w:rPr>
          <w:rFonts w:hint="eastAsia" w:ascii="仿宋_GB2312" w:hAnsi="仿宋_GB2312" w:eastAsia="仿宋_GB2312" w:cs="仿宋_GB2312"/>
          <w:b w:val="0"/>
          <w:color w:val="auto"/>
          <w:sz w:val="32"/>
          <w:szCs w:val="32"/>
        </w:rPr>
        <w:t>完整有效。</w:t>
      </w:r>
    </w:p>
    <w:p w14:paraId="1B79D917">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如果航空运营人想要对2类CTSOA数据供应商所提供导航数据库中的信息进行格式化或更改，那么为了证明其数据处理能力，航空运营人必须按照AC-21-AA-2025-43和</w:t>
      </w:r>
      <w:r>
        <w:rPr>
          <w:rFonts w:hint="eastAsia" w:ascii="仿宋_GB2312" w:hAnsi="仿宋_GB2312" w:eastAsia="仿宋_GB2312" w:cs="仿宋_GB2312"/>
          <w:b w:val="0"/>
          <w:color w:val="auto"/>
          <w:sz w:val="32"/>
          <w:szCs w:val="32"/>
          <w:lang w:eastAsia="zh-CN"/>
        </w:rPr>
        <w:t>CTSO-2C611</w:t>
      </w:r>
      <w:r>
        <w:rPr>
          <w:rFonts w:hint="eastAsia" w:ascii="仿宋_GB2312" w:hAnsi="仿宋_GB2312" w:eastAsia="仿宋_GB2312" w:cs="仿宋_GB2312"/>
          <w:b w:val="0"/>
          <w:color w:val="auto"/>
          <w:sz w:val="32"/>
          <w:szCs w:val="32"/>
        </w:rPr>
        <w:t>的相关要求，获得</w:t>
      </w:r>
      <w:r>
        <w:rPr>
          <w:rFonts w:hint="eastAsia" w:ascii="仿宋_GB2312" w:hAnsi="仿宋_GB2312" w:eastAsia="仿宋_GB2312" w:cs="仿宋_GB2312"/>
          <w:b w:val="0"/>
          <w:color w:val="auto"/>
          <w:sz w:val="32"/>
          <w:szCs w:val="32"/>
          <w:lang w:val="en-US" w:eastAsia="zh-CN"/>
        </w:rPr>
        <w:t>数据库</w:t>
      </w:r>
      <w:r>
        <w:rPr>
          <w:rFonts w:hint="eastAsia" w:ascii="仿宋_GB2312" w:hAnsi="仿宋_GB2312" w:eastAsia="仿宋_GB2312" w:cs="仿宋_GB2312"/>
          <w:b w:val="0"/>
          <w:color w:val="auto"/>
          <w:sz w:val="32"/>
          <w:szCs w:val="32"/>
        </w:rPr>
        <w:t>CTSOA。</w:t>
      </w:r>
    </w:p>
    <w:p w14:paraId="707890CF">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i/>
          <w:color w:val="auto"/>
          <w:sz w:val="32"/>
          <w:szCs w:val="32"/>
        </w:rPr>
      </w:pPr>
      <w:r>
        <w:rPr>
          <w:rFonts w:hint="eastAsia" w:ascii="仿宋_GB2312" w:hAnsi="仿宋_GB2312" w:eastAsia="仿宋_GB2312" w:cs="仿宋_GB2312"/>
          <w:b w:val="0"/>
          <w:i/>
          <w:color w:val="auto"/>
          <w:sz w:val="32"/>
          <w:szCs w:val="32"/>
        </w:rPr>
        <w:t>注：关于DQR的具体特征参见RTCA/DO-200(</w:t>
      </w:r>
      <w:r>
        <w:rPr>
          <w:rFonts w:hint="eastAsia" w:ascii="仿宋_GB2312" w:hAnsi="仿宋_GB2312" w:eastAsia="仿宋_GB2312" w:cs="仿宋_GB2312"/>
          <w:b w:val="0"/>
          <w:i/>
          <w:color w:val="auto"/>
          <w:sz w:val="32"/>
          <w:szCs w:val="32"/>
          <w:lang w:val="en-US" w:eastAsia="zh-CN"/>
        </w:rPr>
        <w:t xml:space="preserve"> </w:t>
      </w:r>
      <w:r>
        <w:rPr>
          <w:rFonts w:hint="eastAsia" w:ascii="仿宋_GB2312" w:hAnsi="仿宋_GB2312" w:eastAsia="仿宋_GB2312" w:cs="仿宋_GB2312"/>
          <w:b w:val="0"/>
          <w:i/>
          <w:color w:val="auto"/>
          <w:sz w:val="32"/>
          <w:szCs w:val="32"/>
        </w:rPr>
        <w:t>)、201(</w:t>
      </w:r>
      <w:r>
        <w:rPr>
          <w:rFonts w:hint="eastAsia" w:ascii="仿宋_GB2312" w:hAnsi="仿宋_GB2312" w:eastAsia="仿宋_GB2312" w:cs="仿宋_GB2312"/>
          <w:b w:val="0"/>
          <w:i/>
          <w:color w:val="auto"/>
          <w:sz w:val="32"/>
          <w:szCs w:val="32"/>
          <w:lang w:val="en-US" w:eastAsia="zh-CN"/>
        </w:rPr>
        <w:t xml:space="preserve"> </w:t>
      </w:r>
      <w:r>
        <w:rPr>
          <w:rFonts w:hint="eastAsia" w:ascii="仿宋_GB2312" w:hAnsi="仿宋_GB2312" w:eastAsia="仿宋_GB2312" w:cs="仿宋_GB2312"/>
          <w:b w:val="0"/>
          <w:i/>
          <w:color w:val="auto"/>
          <w:sz w:val="32"/>
          <w:szCs w:val="32"/>
        </w:rPr>
        <w:t>)。</w:t>
      </w:r>
    </w:p>
    <w:p w14:paraId="47FAE155">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szCs w:val="32"/>
        </w:rPr>
      </w:pPr>
      <w:bookmarkStart w:id="67" w:name="_Toc3706"/>
      <w:bookmarkStart w:id="68" w:name="_Toc18796"/>
      <w:bookmarkStart w:id="69" w:name="_Toc12565"/>
      <w:bookmarkStart w:id="70" w:name="_Toc31715"/>
      <w:bookmarkStart w:id="71" w:name="_Toc22330"/>
      <w:bookmarkStart w:id="72" w:name="_Toc22409"/>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.2.2 数据供应商管理</w:t>
      </w:r>
      <w:bookmarkEnd w:id="67"/>
      <w:bookmarkEnd w:id="68"/>
      <w:bookmarkEnd w:id="69"/>
      <w:bookmarkEnd w:id="70"/>
      <w:bookmarkEnd w:id="71"/>
      <w:bookmarkEnd w:id="72"/>
    </w:p>
    <w:p w14:paraId="702A5A92">
      <w:pPr>
        <w:pStyle w:val="6"/>
        <w:tabs>
          <w:tab w:val="left" w:pos="8580"/>
        </w:tabs>
        <w:spacing w:line="360" w:lineRule="auto"/>
        <w:ind w:left="0" w:leftChars="0" w:right="440" w:rightChars="200" w:firstLine="632" w:firstLineChars="200"/>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b w:val="0"/>
          <w:i w:val="0"/>
          <w:iCs w:val="0"/>
          <w:color w:val="auto"/>
          <w:spacing w:val="-2"/>
          <w:sz w:val="32"/>
          <w:szCs w:val="32"/>
          <w:highlight w:val="none"/>
          <w:lang w:val="en-US" w:eastAsia="zh-CN"/>
        </w:rPr>
        <w:t>对于首次申请适航证的民用航空器</w:t>
      </w:r>
      <w:r>
        <w:rPr>
          <w:rFonts w:hint="eastAsia" w:ascii="仿宋_GB2312" w:hAnsi="仿宋_GB2312" w:eastAsia="仿宋_GB2312" w:cs="仿宋_GB2312"/>
          <w:b w:val="0"/>
          <w:color w:val="auto"/>
          <w:spacing w:val="-2"/>
          <w:sz w:val="32"/>
          <w:szCs w:val="32"/>
          <w:highlight w:val="none"/>
          <w:lang w:eastAsia="zh-CN"/>
        </w:rPr>
        <w:t>，</w:t>
      </w:r>
      <w:r>
        <w:rPr>
          <w:rFonts w:hint="eastAsia" w:ascii="仿宋_GB2312" w:hAnsi="仿宋_GB2312" w:eastAsia="仿宋_GB2312" w:cs="仿宋_GB2312"/>
          <w:b w:val="0"/>
          <w:i w:val="0"/>
          <w:iCs w:val="0"/>
          <w:color w:val="auto"/>
          <w:spacing w:val="-2"/>
          <w:sz w:val="32"/>
          <w:szCs w:val="32"/>
          <w:highlight w:val="none"/>
          <w:lang w:val="en-US" w:eastAsia="zh-CN"/>
        </w:rPr>
        <w:t>自2027年1月1日起，其机载航空数据需已获得中国民航局的批准；</w:t>
      </w:r>
      <w:r>
        <w:rPr>
          <w:rFonts w:hint="eastAsia" w:ascii="仿宋_GB2312" w:hAnsi="仿宋_GB2312" w:eastAsia="仿宋_GB2312" w:cs="仿宋_GB2312"/>
          <w:b w:val="0"/>
          <w:color w:val="auto"/>
          <w:spacing w:val="-2"/>
          <w:kern w:val="0"/>
          <w:sz w:val="32"/>
          <w:szCs w:val="32"/>
          <w:highlight w:val="none"/>
          <w:lang w:val="en-US" w:eastAsia="zh-CN"/>
        </w:rPr>
        <w:t>对于其他民用航空器，除经民航局同意外，原则上</w:t>
      </w:r>
      <w:r>
        <w:rPr>
          <w:rFonts w:hint="eastAsia" w:ascii="仿宋_GB2312" w:hAnsi="仿宋_GB2312" w:eastAsia="仿宋_GB2312" w:cs="仿宋_GB2312"/>
          <w:b w:val="0"/>
          <w:color w:val="auto"/>
          <w:spacing w:val="-2"/>
          <w:kern w:val="0"/>
          <w:sz w:val="32"/>
          <w:szCs w:val="32"/>
          <w:highlight w:val="none"/>
        </w:rPr>
        <w:t>数据供应商应持有中国民航</w:t>
      </w:r>
      <w:r>
        <w:rPr>
          <w:rFonts w:hint="eastAsia" w:ascii="仿宋_GB2312" w:hAnsi="仿宋_GB2312" w:eastAsia="仿宋_GB2312" w:cs="仿宋_GB2312"/>
          <w:b w:val="0"/>
          <w:color w:val="auto"/>
          <w:spacing w:val="-2"/>
          <w:kern w:val="0"/>
          <w:sz w:val="32"/>
          <w:szCs w:val="32"/>
          <w:highlight w:val="none"/>
          <w:lang w:val="en-US" w:eastAsia="zh-CN"/>
        </w:rPr>
        <w:t>导航</w:t>
      </w:r>
      <w:r>
        <w:rPr>
          <w:rFonts w:hint="eastAsia" w:ascii="仿宋_GB2312" w:hAnsi="仿宋_GB2312" w:eastAsia="仿宋_GB2312" w:cs="仿宋_GB2312"/>
          <w:b w:val="0"/>
          <w:color w:val="auto"/>
          <w:spacing w:val="-2"/>
          <w:kern w:val="0"/>
          <w:sz w:val="32"/>
          <w:szCs w:val="32"/>
          <w:highlight w:val="none"/>
        </w:rPr>
        <w:t>数据库CTSOA</w:t>
      </w:r>
      <w:r>
        <w:rPr>
          <w:rFonts w:hint="eastAsia" w:ascii="仿宋_GB2312" w:hAnsi="仿宋_GB2312" w:eastAsia="仿宋_GB2312" w:cs="仿宋_GB2312"/>
          <w:b w:val="0"/>
          <w:color w:val="auto"/>
          <w:sz w:val="32"/>
          <w:szCs w:val="32"/>
          <w:highlight w:val="none"/>
        </w:rPr>
        <w:t>。</w:t>
      </w:r>
    </w:p>
    <w:p w14:paraId="2AB603EE">
      <w:pPr>
        <w:pStyle w:val="6"/>
        <w:tabs>
          <w:tab w:val="left" w:pos="8580"/>
        </w:tabs>
        <w:spacing w:line="360" w:lineRule="auto"/>
        <w:ind w:left="0" w:leftChars="0" w:right="440" w:rightChars="200" w:firstLine="640"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z w:val="32"/>
          <w:szCs w:val="32"/>
        </w:rPr>
        <w:t>航</w:t>
      </w:r>
      <w:r>
        <w:rPr>
          <w:rFonts w:hint="eastAsia" w:ascii="仿宋_GB2312" w:hAnsi="仿宋_GB2312" w:eastAsia="仿宋_GB2312" w:cs="仿宋_GB2312"/>
          <w:b w:val="0"/>
          <w:color w:val="auto"/>
          <w:spacing w:val="-2"/>
          <w:sz w:val="32"/>
          <w:szCs w:val="32"/>
        </w:rPr>
        <w:t>空运营人根据公司机队情况及运行需要，自行选择</w:t>
      </w:r>
      <w:r>
        <w:rPr>
          <w:rFonts w:hint="eastAsia" w:ascii="仿宋_GB2312" w:hAnsi="仿宋_GB2312" w:eastAsia="仿宋_GB2312" w:cs="仿宋_GB2312"/>
          <w:b w:val="0"/>
          <w:color w:val="auto"/>
          <w:spacing w:val="-2"/>
          <w:sz w:val="32"/>
          <w:szCs w:val="32"/>
          <w:lang w:val="en-US" w:eastAsia="zh-CN"/>
        </w:rPr>
        <w:t>符合要求的</w:t>
      </w:r>
      <w:r>
        <w:rPr>
          <w:rFonts w:hint="eastAsia" w:ascii="仿宋_GB2312" w:hAnsi="仿宋_GB2312" w:eastAsia="仿宋_GB2312" w:cs="仿宋_GB2312"/>
          <w:b w:val="0"/>
          <w:color w:val="auto"/>
          <w:spacing w:val="-2"/>
          <w:sz w:val="32"/>
          <w:szCs w:val="32"/>
        </w:rPr>
        <w:t>数据供应商，并对其数据处理资质和能力进行确认。</w:t>
      </w:r>
    </w:p>
    <w:p w14:paraId="068201F0">
      <w:pPr>
        <w:pStyle w:val="6"/>
        <w:tabs>
          <w:tab w:val="left" w:pos="8580"/>
        </w:tabs>
        <w:spacing w:line="360" w:lineRule="auto"/>
        <w:ind w:left="0" w:leftChars="0" w:right="440" w:rightChars="200" w:firstLine="632"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航空运营人应与数据供应商建立机制，明确数据供应商对数据更改、偏离、差错或异常等情况的发布方式，以及运营人向数据供应商反馈差错或异常的方式。</w:t>
      </w:r>
    </w:p>
    <w:p w14:paraId="2440F20C">
      <w:pPr>
        <w:pStyle w:val="6"/>
        <w:tabs>
          <w:tab w:val="left" w:pos="8580"/>
        </w:tabs>
        <w:spacing w:line="360" w:lineRule="auto"/>
        <w:ind w:left="0" w:leftChars="0" w:right="440" w:rightChars="200" w:firstLine="632"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航空运营人应监控数据供应商的数据处理资质、数据交付能力等情况，并向供应商反馈质量监控情况。</w:t>
      </w:r>
    </w:p>
    <w:p w14:paraId="422343B2">
      <w:pPr>
        <w:pStyle w:val="6"/>
        <w:tabs>
          <w:tab w:val="left" w:pos="8580"/>
        </w:tabs>
        <w:spacing w:line="360" w:lineRule="auto"/>
        <w:ind w:left="0" w:leftChars="0" w:right="440" w:rightChars="200" w:firstLine="632" w:firstLineChars="200"/>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如航空运营人因导航数据库新建或变更等原因变更数据供应商或导航数据库发生升级换代，应及时修改《运行手册》。</w:t>
      </w:r>
    </w:p>
    <w:p w14:paraId="18032F2C">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szCs w:val="32"/>
        </w:rPr>
      </w:pPr>
      <w:bookmarkStart w:id="73" w:name="_Toc14732"/>
      <w:bookmarkStart w:id="74" w:name="_Toc18240"/>
      <w:bookmarkStart w:id="75" w:name="_Toc10427"/>
      <w:bookmarkStart w:id="76" w:name="_Toc17970"/>
      <w:bookmarkStart w:id="77" w:name="_Toc20242"/>
      <w:bookmarkStart w:id="78" w:name="_Toc32219"/>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.2.3 导航数据库软硬件管理</w:t>
      </w:r>
      <w:bookmarkEnd w:id="73"/>
      <w:bookmarkEnd w:id="74"/>
      <w:bookmarkEnd w:id="75"/>
      <w:bookmarkEnd w:id="76"/>
      <w:bookmarkEnd w:id="77"/>
      <w:bookmarkEnd w:id="78"/>
    </w:p>
    <w:p w14:paraId="4D5B20E3">
      <w:pPr>
        <w:pStyle w:val="6"/>
        <w:tabs>
          <w:tab w:val="left" w:pos="8580"/>
        </w:tabs>
        <w:spacing w:line="360" w:lineRule="auto"/>
        <w:ind w:left="0" w:right="440" w:rightChars="200" w:firstLine="632" w:firstLineChars="200"/>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pacing w:val="-2"/>
          <w:sz w:val="32"/>
          <w:szCs w:val="32"/>
        </w:rPr>
        <w:t>运行机队机载航电配置与导航数据库使用密切相关，为保证导航数据库的准确性、完整性以及与航电设备的兼容性，航空运营人应及时掌握运行机队及航电设备配置情况并做好记录，内容包括但不限于：</w:t>
      </w:r>
    </w:p>
    <w:p w14:paraId="69191A8F">
      <w:pPr>
        <w:tabs>
          <w:tab w:val="left" w:pos="1000"/>
          <w:tab w:val="left" w:pos="8580"/>
        </w:tabs>
        <w:spacing w:line="360" w:lineRule="auto"/>
        <w:ind w:right="440" w:rightChars="200" w:firstLine="628"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3"/>
          <w:sz w:val="32"/>
          <w:szCs w:val="32"/>
        </w:rPr>
        <w:t>（1）运行机队机型种类及数量；</w:t>
      </w:r>
    </w:p>
    <w:p w14:paraId="5203C8BF">
      <w:pPr>
        <w:tabs>
          <w:tab w:val="left" w:pos="999"/>
          <w:tab w:val="left" w:pos="8580"/>
        </w:tabs>
        <w:spacing w:line="360" w:lineRule="auto"/>
        <w:ind w:right="440" w:rightChars="200" w:firstLine="628"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3"/>
          <w:sz w:val="32"/>
          <w:szCs w:val="32"/>
        </w:rPr>
        <w:t>（2）每架飞机装载的航电设备型号，包括</w:t>
      </w:r>
      <w:r>
        <w:rPr>
          <w:rFonts w:hint="eastAsia" w:ascii="仿宋_GB2312" w:hAnsi="仿宋_GB2312" w:eastAsia="仿宋_GB2312" w:cs="仿宋_GB2312"/>
          <w:color w:val="auto"/>
          <w:spacing w:val="-2"/>
          <w:sz w:val="32"/>
          <w:szCs w:val="32"/>
        </w:rPr>
        <w:t>FMC</w:t>
      </w:r>
      <w:r>
        <w:rPr>
          <w:rFonts w:hint="eastAsia" w:ascii="仿宋_GB2312" w:hAnsi="仿宋_GB2312" w:eastAsia="仿宋_GB2312" w:cs="仿宋_GB2312"/>
          <w:color w:val="auto"/>
          <w:spacing w:val="-4"/>
          <w:sz w:val="32"/>
          <w:szCs w:val="32"/>
        </w:rPr>
        <w:t>软硬件型号、版本以及对应的导航数据库ID；</w:t>
      </w:r>
    </w:p>
    <w:p w14:paraId="6282FA1D">
      <w:pPr>
        <w:tabs>
          <w:tab w:val="left" w:pos="1000"/>
          <w:tab w:val="left" w:pos="8580"/>
        </w:tabs>
        <w:spacing w:line="360" w:lineRule="auto"/>
        <w:ind w:right="440" w:rightChars="200" w:firstLine="628" w:firstLineChars="200"/>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（3）每个导航数据库的限制条件，例如装载容量限制，飞行程序、</w:t>
      </w:r>
      <w:r>
        <w:rPr>
          <w:rFonts w:hint="eastAsia" w:ascii="仿宋_GB2312" w:hAnsi="仿宋_GB2312" w:eastAsia="仿宋_GB2312" w:cs="仿宋_GB2312"/>
          <w:color w:val="auto"/>
          <w:spacing w:val="-4"/>
          <w:sz w:val="32"/>
          <w:szCs w:val="32"/>
        </w:rPr>
        <w:t>航路点</w:t>
      </w:r>
      <w:r>
        <w:rPr>
          <w:rFonts w:hint="eastAsia" w:ascii="仿宋_GB2312" w:hAnsi="仿宋_GB2312" w:eastAsia="仿宋_GB2312" w:cs="仿宋_GB2312"/>
          <w:color w:val="auto"/>
          <w:spacing w:val="-3"/>
          <w:sz w:val="32"/>
          <w:szCs w:val="32"/>
        </w:rPr>
        <w:t>、公司航路等的数量限制，以及常见的功能限制等情况。</w:t>
      </w:r>
    </w:p>
    <w:p w14:paraId="627201DD">
      <w:pPr>
        <w:tabs>
          <w:tab w:val="left" w:pos="999"/>
          <w:tab w:val="left" w:pos="8580"/>
        </w:tabs>
        <w:spacing w:line="360" w:lineRule="auto"/>
        <w:ind w:left="0" w:right="440" w:rightChars="200" w:firstLine="628" w:firstLineChars="200"/>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航空运营人应对</w:t>
      </w:r>
      <w:r>
        <w:rPr>
          <w:rFonts w:hint="eastAsia" w:ascii="仿宋_GB2312" w:hAnsi="仿宋_GB2312" w:eastAsia="仿宋_GB2312" w:cs="仿宋_GB2312"/>
          <w:bCs/>
          <w:color w:val="auto"/>
          <w:spacing w:val="-3"/>
          <w:sz w:val="32"/>
          <w:szCs w:val="32"/>
        </w:rPr>
        <w:t>导航数据库</w:t>
      </w:r>
      <w:r>
        <w:rPr>
          <w:rFonts w:hint="eastAsia" w:ascii="仿宋_GB2312" w:hAnsi="仿宋_GB2312" w:eastAsia="仿宋_GB2312" w:cs="仿宋_GB2312"/>
          <w:color w:val="auto"/>
          <w:spacing w:val="-3"/>
          <w:sz w:val="32"/>
          <w:szCs w:val="32"/>
        </w:rPr>
        <w:t>限制</w:t>
      </w:r>
      <w:r>
        <w:rPr>
          <w:rFonts w:hint="eastAsia" w:ascii="仿宋_GB2312" w:hAnsi="仿宋_GB2312" w:eastAsia="仿宋_GB2312" w:cs="仿宋_GB2312"/>
          <w:bCs/>
          <w:color w:val="auto"/>
          <w:spacing w:val="-3"/>
          <w:sz w:val="32"/>
          <w:szCs w:val="32"/>
        </w:rPr>
        <w:t>建立监控机制</w:t>
      </w:r>
      <w:r>
        <w:rPr>
          <w:rFonts w:hint="eastAsia" w:ascii="仿宋_GB2312" w:hAnsi="仿宋_GB2312" w:eastAsia="仿宋_GB2312" w:cs="仿宋_GB2312"/>
          <w:color w:val="auto"/>
          <w:spacing w:val="-3"/>
          <w:sz w:val="32"/>
          <w:szCs w:val="32"/>
        </w:rPr>
        <w:t>，通过</w:t>
      </w:r>
      <w:r>
        <w:rPr>
          <w:rFonts w:hint="eastAsia" w:ascii="仿宋_GB2312" w:hAnsi="仿宋_GB2312" w:eastAsia="仿宋_GB2312" w:cs="仿宋_GB2312"/>
          <w:bCs/>
          <w:color w:val="auto"/>
          <w:spacing w:val="-3"/>
          <w:sz w:val="32"/>
          <w:szCs w:val="32"/>
        </w:rPr>
        <w:t>优化导航数据需求</w:t>
      </w:r>
      <w:r>
        <w:rPr>
          <w:rFonts w:hint="eastAsia" w:ascii="仿宋_GB2312" w:hAnsi="仿宋_GB2312" w:eastAsia="仿宋_GB2312" w:cs="仿宋_GB2312"/>
          <w:color w:val="auto"/>
          <w:spacing w:val="-3"/>
          <w:sz w:val="32"/>
          <w:szCs w:val="32"/>
        </w:rPr>
        <w:t>合理减少数据库内容</w:t>
      </w:r>
      <w:r>
        <w:rPr>
          <w:rFonts w:hint="eastAsia" w:ascii="仿宋_GB2312" w:hAnsi="仿宋_GB2312" w:eastAsia="仿宋_GB2312" w:cs="仿宋_GB2312"/>
          <w:bCs/>
          <w:color w:val="auto"/>
          <w:spacing w:val="-3"/>
          <w:sz w:val="32"/>
          <w:szCs w:val="32"/>
        </w:rPr>
        <w:t>，防止因数据库文件过大而出现溢载的</w:t>
      </w:r>
      <w:r>
        <w:rPr>
          <w:rFonts w:hint="eastAsia" w:ascii="仿宋_GB2312" w:hAnsi="仿宋_GB2312" w:eastAsia="仿宋_GB2312" w:cs="仿宋_GB2312"/>
          <w:bCs/>
          <w:color w:val="auto"/>
          <w:spacing w:val="-3"/>
          <w:sz w:val="32"/>
          <w:szCs w:val="32"/>
          <w:lang w:eastAsia="zh-CN"/>
        </w:rPr>
        <w:t>情况</w:t>
      </w:r>
      <w:r>
        <w:rPr>
          <w:rFonts w:hint="eastAsia" w:ascii="仿宋_GB2312" w:hAnsi="仿宋_GB2312" w:eastAsia="仿宋_GB2312" w:cs="仿宋_GB2312"/>
          <w:bCs/>
          <w:color w:val="auto"/>
          <w:spacing w:val="-3"/>
          <w:sz w:val="32"/>
          <w:szCs w:val="32"/>
        </w:rPr>
        <w:t>。</w:t>
      </w:r>
    </w:p>
    <w:p w14:paraId="780FBAFA">
      <w:pPr>
        <w:tabs>
          <w:tab w:val="left" w:pos="999"/>
          <w:tab w:val="left" w:pos="8580"/>
        </w:tabs>
        <w:spacing w:line="360" w:lineRule="auto"/>
        <w:ind w:left="0" w:right="440" w:rightChars="200" w:firstLine="628" w:firstLineChars="200"/>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航空运营人应定期组织评估本公司机队及航电能力，制定并优化机队导航数据库配置及运行方案。航空运营人的导航数据库管理机构及其他相关部门应为本公司机队选型或加改装，提供与导航数据库使用相关的机载航电设备配置建议。</w:t>
      </w:r>
    </w:p>
    <w:p w14:paraId="2A36986A">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szCs w:val="32"/>
        </w:rPr>
      </w:pPr>
      <w:bookmarkStart w:id="79" w:name="_Toc26583"/>
      <w:bookmarkStart w:id="80" w:name="_Toc23385"/>
      <w:bookmarkStart w:id="81" w:name="_Toc15718"/>
      <w:bookmarkStart w:id="82" w:name="_Toc23550"/>
      <w:bookmarkStart w:id="83" w:name="_Toc23316"/>
      <w:bookmarkStart w:id="84" w:name="_Toc30929"/>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.2.4 工作程序管理</w:t>
      </w:r>
      <w:bookmarkEnd w:id="79"/>
      <w:bookmarkEnd w:id="80"/>
      <w:bookmarkEnd w:id="81"/>
      <w:bookmarkEnd w:id="82"/>
      <w:bookmarkEnd w:id="83"/>
      <w:bookmarkEnd w:id="84"/>
    </w:p>
    <w:p w14:paraId="537EE5EA">
      <w:pPr>
        <w:tabs>
          <w:tab w:val="left" w:pos="8580"/>
        </w:tabs>
        <w:spacing w:line="360" w:lineRule="auto"/>
        <w:ind w:left="0" w:right="440" w:rightChars="200" w:firstLine="549" w:firstLineChars="174"/>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航空运营人应识别导航数据库管理的主要工作环节，并建立相应的工作程序。为规范导航数据库相关工作程序的建立、更新和实施，航空运营人应建立工作程序管理规定，至少应包含：</w:t>
      </w:r>
    </w:p>
    <w:p w14:paraId="383639D7">
      <w:pPr>
        <w:pStyle w:val="6"/>
        <w:tabs>
          <w:tab w:val="left" w:pos="8580"/>
        </w:tabs>
        <w:spacing w:line="360" w:lineRule="auto"/>
        <w:ind w:left="0" w:right="440" w:rightChars="200" w:firstLine="556" w:firstLineChars="174"/>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（1）明确受控的工作程序清单；</w:t>
      </w:r>
    </w:p>
    <w:p w14:paraId="35E829A4">
      <w:pPr>
        <w:pStyle w:val="6"/>
        <w:tabs>
          <w:tab w:val="left" w:pos="8580"/>
        </w:tabs>
        <w:spacing w:line="360" w:lineRule="auto"/>
        <w:ind w:left="0" w:right="440" w:rightChars="200" w:firstLine="556" w:firstLineChars="174"/>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（2）评估工作程序是否需要修订的机制；</w:t>
      </w:r>
    </w:p>
    <w:p w14:paraId="46719502">
      <w:pPr>
        <w:pStyle w:val="6"/>
        <w:tabs>
          <w:tab w:val="left" w:pos="8580"/>
        </w:tabs>
        <w:spacing w:line="360" w:lineRule="auto"/>
        <w:ind w:left="0" w:right="440" w:rightChars="200" w:firstLine="556" w:firstLineChars="174"/>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（3）工作程序的批准方式；</w:t>
      </w:r>
    </w:p>
    <w:p w14:paraId="07A4C9F1">
      <w:pPr>
        <w:pStyle w:val="6"/>
        <w:tabs>
          <w:tab w:val="left" w:pos="8580"/>
        </w:tabs>
        <w:spacing w:line="360" w:lineRule="auto"/>
        <w:ind w:left="0" w:right="440" w:rightChars="200" w:firstLine="556" w:firstLineChars="174"/>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（4）在生效前将工作程序变更通知相关方的方式。</w:t>
      </w:r>
    </w:p>
    <w:p w14:paraId="239605F0">
      <w:pPr>
        <w:tabs>
          <w:tab w:val="left" w:pos="999"/>
          <w:tab w:val="left" w:pos="8580"/>
        </w:tabs>
        <w:spacing w:line="360" w:lineRule="auto"/>
        <w:ind w:right="440" w:rightChars="200" w:firstLine="546" w:firstLineChars="174"/>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本通告第</w:t>
      </w:r>
      <w:r>
        <w:rPr>
          <w:rFonts w:hint="eastAsia" w:ascii="仿宋_GB2312" w:hAnsi="仿宋_GB2312" w:eastAsia="仿宋_GB2312" w:cs="仿宋_GB2312"/>
          <w:color w:val="auto"/>
          <w:spacing w:val="-3"/>
          <w:sz w:val="32"/>
          <w:szCs w:val="32"/>
          <w:lang w:eastAsia="zh-CN"/>
        </w:rPr>
        <w:t>7</w:t>
      </w:r>
      <w:r>
        <w:rPr>
          <w:rFonts w:hint="eastAsia" w:ascii="仿宋_GB2312" w:hAnsi="仿宋_GB2312" w:eastAsia="仿宋_GB2312" w:cs="仿宋_GB2312"/>
          <w:color w:val="auto"/>
          <w:spacing w:val="-3"/>
          <w:sz w:val="32"/>
          <w:szCs w:val="32"/>
        </w:rPr>
        <w:t>章提供了关于航空运营人建立工作程序的指导，但不是唯一方法，运营人也可采用局方可接受的其他符合性方法。</w:t>
      </w:r>
    </w:p>
    <w:p w14:paraId="55DC6FA4">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szCs w:val="32"/>
        </w:rPr>
      </w:pPr>
      <w:bookmarkStart w:id="85" w:name="_Toc15935"/>
      <w:bookmarkStart w:id="86" w:name="_Toc18737"/>
      <w:bookmarkStart w:id="87" w:name="_Toc7069"/>
      <w:bookmarkStart w:id="88" w:name="_Toc28085"/>
      <w:bookmarkStart w:id="89" w:name="_Toc24830"/>
      <w:bookmarkStart w:id="90" w:name="_Toc26689"/>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.2.5 人员能力管理</w:t>
      </w:r>
      <w:bookmarkEnd w:id="85"/>
      <w:bookmarkEnd w:id="86"/>
      <w:bookmarkEnd w:id="87"/>
      <w:bookmarkEnd w:id="88"/>
      <w:bookmarkEnd w:id="89"/>
      <w:bookmarkEnd w:id="90"/>
    </w:p>
    <w:p w14:paraId="09D2EE0C">
      <w:pPr>
        <w:tabs>
          <w:tab w:val="left" w:pos="936"/>
          <w:tab w:val="left" w:pos="8580"/>
        </w:tabs>
        <w:spacing w:line="360" w:lineRule="auto"/>
        <w:ind w:right="440" w:rightChars="200" w:firstLine="641" w:firstLineChars="203"/>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数量充足的合格且有经验的人员是航空运营人开展导航数据库管理的先决条件。航空运营人应建立相应的人员能力管理规定，明确执行相关程序的人员能力要求，并确保指派的人员具有相应的能力。</w:t>
      </w:r>
    </w:p>
    <w:p w14:paraId="6572452B">
      <w:pPr>
        <w:tabs>
          <w:tab w:val="left" w:pos="936"/>
          <w:tab w:val="left" w:pos="8580"/>
        </w:tabs>
        <w:spacing w:line="360" w:lineRule="auto"/>
        <w:ind w:right="440" w:rightChars="200" w:firstLine="641" w:firstLineChars="203"/>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人员能力管理规定应明确人员获得并保持相应能力的方法。人员能力的获得可通过多种途径（例如，基础教育、正式院校培训、职业课程、在职培训、复训、经验积累等）。</w:t>
      </w:r>
    </w:p>
    <w:p w14:paraId="343936B6">
      <w:pPr>
        <w:tabs>
          <w:tab w:val="left" w:pos="936"/>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航空运营人应建立导航数据库管理人员完整的人员能力档案，包括人员基础信息、培训记录、岗位授权等，并做到对档案的全程跟踪和动态更新。当识别出人员能力缺陷时，应采取纠正措施并记录。</w:t>
      </w:r>
    </w:p>
    <w:p w14:paraId="2C379FD6">
      <w:pPr>
        <w:tabs>
          <w:tab w:val="left" w:pos="936"/>
          <w:tab w:val="left" w:pos="8580"/>
        </w:tabs>
        <w:spacing w:line="360" w:lineRule="auto"/>
        <w:ind w:right="440" w:rightChars="200" w:firstLine="641" w:firstLineChars="203"/>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本</w:t>
      </w:r>
      <w:r>
        <w:rPr>
          <w:rFonts w:hint="eastAsia" w:ascii="仿宋_GB2312" w:hAnsi="仿宋_GB2312" w:eastAsia="仿宋_GB2312" w:cs="仿宋_GB2312"/>
          <w:bCs/>
          <w:color w:val="auto"/>
          <w:spacing w:val="-2"/>
          <w:sz w:val="32"/>
          <w:szCs w:val="32"/>
          <w:lang w:val="en-US" w:eastAsia="zh-CN"/>
        </w:rPr>
        <w:t>通告</w:t>
      </w:r>
      <w:r>
        <w:rPr>
          <w:rFonts w:hint="eastAsia" w:ascii="仿宋_GB2312" w:hAnsi="仿宋_GB2312" w:eastAsia="仿宋_GB2312" w:cs="仿宋_GB2312"/>
          <w:bCs/>
          <w:color w:val="auto"/>
          <w:spacing w:val="-2"/>
          <w:sz w:val="32"/>
          <w:szCs w:val="32"/>
        </w:rPr>
        <w:t>第</w:t>
      </w:r>
      <w:r>
        <w:rPr>
          <w:rFonts w:hint="eastAsia" w:ascii="仿宋_GB2312" w:hAnsi="仿宋_GB2312" w:eastAsia="仿宋_GB2312" w:cs="仿宋_GB2312"/>
          <w:bCs/>
          <w:color w:val="auto"/>
          <w:spacing w:val="-2"/>
          <w:sz w:val="32"/>
          <w:szCs w:val="32"/>
          <w:lang w:eastAsia="zh-CN"/>
        </w:rPr>
        <w:t>8</w:t>
      </w:r>
      <w:r>
        <w:rPr>
          <w:rFonts w:hint="eastAsia" w:ascii="仿宋_GB2312" w:hAnsi="仿宋_GB2312" w:eastAsia="仿宋_GB2312" w:cs="仿宋_GB2312"/>
          <w:bCs/>
          <w:color w:val="auto"/>
          <w:spacing w:val="-2"/>
          <w:sz w:val="32"/>
          <w:szCs w:val="32"/>
        </w:rPr>
        <w:t>章提供了关于航空运营人导航数据库管理人员培训的指导，但不是唯一方法，运营人也可采用局方可接受的其他符合性方法。</w:t>
      </w:r>
    </w:p>
    <w:p w14:paraId="33EC26EA">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szCs w:val="32"/>
        </w:rPr>
      </w:pPr>
      <w:bookmarkStart w:id="91" w:name="_Toc32427"/>
      <w:bookmarkStart w:id="92" w:name="_Toc15457"/>
      <w:bookmarkStart w:id="93" w:name="_Toc9243"/>
      <w:bookmarkStart w:id="94" w:name="_Toc17522"/>
      <w:bookmarkStart w:id="95" w:name="_Toc30690"/>
      <w:bookmarkStart w:id="96" w:name="_Toc7699"/>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.2.6 文件管理</w:t>
      </w:r>
      <w:bookmarkEnd w:id="91"/>
      <w:bookmarkEnd w:id="92"/>
      <w:bookmarkEnd w:id="93"/>
      <w:bookmarkEnd w:id="94"/>
      <w:bookmarkEnd w:id="95"/>
      <w:bookmarkEnd w:id="96"/>
    </w:p>
    <w:p w14:paraId="7101A901">
      <w:pPr>
        <w:tabs>
          <w:tab w:val="left" w:pos="8580"/>
        </w:tabs>
        <w:spacing w:line="360" w:lineRule="auto"/>
        <w:ind w:left="0" w:right="440" w:rightChars="200" w:firstLine="632" w:firstLineChars="200"/>
        <w:jc w:val="both"/>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bCs/>
          <w:color w:val="auto"/>
          <w:spacing w:val="-2"/>
          <w:sz w:val="32"/>
          <w:szCs w:val="32"/>
        </w:rPr>
        <w:t>导航数据库质量管理涉及相关的程序、规定以及与数据供应商的协议等文件，为</w:t>
      </w:r>
      <w:r>
        <w:rPr>
          <w:rFonts w:hint="eastAsia" w:ascii="仿宋_GB2312" w:hAnsi="仿宋_GB2312" w:eastAsia="仿宋_GB2312" w:cs="仿宋_GB2312"/>
          <w:bCs/>
          <w:color w:val="auto"/>
          <w:spacing w:val="-2"/>
          <w:sz w:val="32"/>
          <w:szCs w:val="32"/>
          <w:lang w:val="en-US" w:eastAsia="zh-CN"/>
        </w:rPr>
        <w:t>加强</w:t>
      </w:r>
      <w:r>
        <w:rPr>
          <w:rFonts w:hint="eastAsia" w:ascii="仿宋_GB2312" w:hAnsi="仿宋_GB2312" w:eastAsia="仿宋_GB2312" w:cs="仿宋_GB2312"/>
          <w:bCs/>
          <w:color w:val="auto"/>
          <w:spacing w:val="-2"/>
          <w:sz w:val="32"/>
          <w:szCs w:val="32"/>
        </w:rPr>
        <w:t>这些文件</w:t>
      </w:r>
      <w:r>
        <w:rPr>
          <w:rFonts w:hint="eastAsia" w:ascii="仿宋_GB2312" w:hAnsi="仿宋_GB2312" w:eastAsia="仿宋_GB2312" w:cs="仿宋_GB2312"/>
          <w:bCs/>
          <w:color w:val="auto"/>
          <w:spacing w:val="-2"/>
          <w:sz w:val="32"/>
          <w:szCs w:val="32"/>
          <w:lang w:eastAsia="zh-CN"/>
        </w:rPr>
        <w:t>的</w:t>
      </w:r>
      <w:r>
        <w:rPr>
          <w:rFonts w:hint="eastAsia" w:ascii="仿宋_GB2312" w:hAnsi="仿宋_GB2312" w:eastAsia="仿宋_GB2312" w:cs="仿宋_GB2312"/>
          <w:bCs/>
          <w:color w:val="auto"/>
          <w:spacing w:val="-2"/>
          <w:sz w:val="32"/>
          <w:szCs w:val="32"/>
        </w:rPr>
        <w:t>管理和控制，确保文件的有效利用、安全存储和高效访问，航空运营人应建立文件管理规定，至少应包含：</w:t>
      </w:r>
    </w:p>
    <w:p w14:paraId="7FFA5F22">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（1）受控的文件清单；</w:t>
      </w:r>
    </w:p>
    <w:p w14:paraId="50C1BD2B">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（2）对每份受控文件的不同版本均应分配唯一的标识；</w:t>
      </w:r>
    </w:p>
    <w:p w14:paraId="4C4278C0">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w:t>
      </w:r>
      <w:r>
        <w:rPr>
          <w:rFonts w:hint="eastAsia" w:ascii="仿宋_GB2312" w:hAnsi="仿宋_GB2312" w:eastAsia="仿宋_GB2312" w:cs="仿宋_GB2312"/>
          <w:bCs/>
          <w:color w:val="auto"/>
          <w:spacing w:val="10"/>
          <w:sz w:val="32"/>
          <w:szCs w:val="32"/>
          <w:lang w:eastAsia="zh-CN"/>
        </w:rPr>
        <w:t>文件</w:t>
      </w:r>
      <w:r>
        <w:rPr>
          <w:rFonts w:hint="eastAsia" w:ascii="仿宋_GB2312" w:hAnsi="仿宋_GB2312" w:eastAsia="仿宋_GB2312" w:cs="仿宋_GB2312"/>
          <w:bCs/>
          <w:color w:val="auto"/>
          <w:spacing w:val="10"/>
          <w:sz w:val="32"/>
          <w:szCs w:val="32"/>
        </w:rPr>
        <w:t>发布前的审核与批准流程；</w:t>
      </w:r>
    </w:p>
    <w:p w14:paraId="3F2B938D">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（4）文件修订的标识方式；</w:t>
      </w:r>
    </w:p>
    <w:p w14:paraId="307D5FD7">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（5）确保仅适用文件的有效版本可被使用的方式；</w:t>
      </w:r>
    </w:p>
    <w:p w14:paraId="35E97359">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（6）保障文件清晰可读的措施；</w:t>
      </w:r>
    </w:p>
    <w:p w14:paraId="26821B7F">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（7）对外部文件（如数据供应商提供的文件或操作规程）进行识别与管控的机制；</w:t>
      </w:r>
    </w:p>
    <w:p w14:paraId="2C0FA90D">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（8）对授权用户访问文件的管控机制；</w:t>
      </w:r>
    </w:p>
    <w:p w14:paraId="18250AEB">
      <w:pPr>
        <w:tabs>
          <w:tab w:val="left" w:pos="8580"/>
        </w:tabs>
        <w:spacing w:line="360" w:lineRule="auto"/>
        <w:ind w:left="21" w:right="440" w:rightChars="200" w:firstLine="550"/>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bCs/>
          <w:color w:val="auto"/>
          <w:spacing w:val="10"/>
          <w:sz w:val="32"/>
          <w:szCs w:val="32"/>
        </w:rPr>
        <w:t>（9）对过期文件的识别、归档直至销毁的措施。</w:t>
      </w:r>
    </w:p>
    <w:p w14:paraId="1B71C61B">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szCs w:val="32"/>
        </w:rPr>
      </w:pPr>
      <w:bookmarkStart w:id="97" w:name="_Toc17054"/>
      <w:bookmarkStart w:id="98" w:name="_Toc19366"/>
      <w:bookmarkStart w:id="99" w:name="_Toc31459"/>
      <w:bookmarkStart w:id="100" w:name="_Toc5492"/>
      <w:bookmarkStart w:id="101" w:name="_Toc31779"/>
      <w:bookmarkStart w:id="102" w:name="_Toc10857"/>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.2.7 记录管理</w:t>
      </w:r>
      <w:bookmarkEnd w:id="97"/>
      <w:bookmarkEnd w:id="98"/>
      <w:bookmarkEnd w:id="99"/>
      <w:bookmarkEnd w:id="100"/>
      <w:bookmarkEnd w:id="101"/>
      <w:bookmarkEnd w:id="102"/>
    </w:p>
    <w:p w14:paraId="14B6432C">
      <w:pPr>
        <w:tabs>
          <w:tab w:val="left" w:pos="8580"/>
        </w:tabs>
        <w:spacing w:line="360" w:lineRule="auto"/>
        <w:ind w:left="10" w:right="440" w:rightChars="200" w:firstLine="568"/>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航空运营人应对实施的质量管理程序进行记录，用以证明导航数据库管理工作符合相应程序要求。为规范记录的填写、标识和存储，保证导航数据库管理工作的可追溯性，航空运营人应建立记录管理规定，至少应包含：</w:t>
      </w:r>
    </w:p>
    <w:p w14:paraId="0ADA6CA6">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（1）受控的记录类型；</w:t>
      </w:r>
    </w:p>
    <w:p w14:paraId="51714B70">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（2）记录的填写</w:t>
      </w:r>
      <w:r>
        <w:rPr>
          <w:rFonts w:hint="eastAsia" w:ascii="仿宋_GB2312" w:hAnsi="仿宋_GB2312" w:eastAsia="仿宋_GB2312" w:cs="仿宋_GB2312"/>
          <w:bCs/>
          <w:color w:val="auto"/>
          <w:spacing w:val="10"/>
          <w:sz w:val="32"/>
          <w:szCs w:val="32"/>
          <w:lang w:eastAsia="zh-CN"/>
        </w:rPr>
        <w:t>要求；</w:t>
      </w:r>
    </w:p>
    <w:p w14:paraId="333901A6">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（3）各类记录的保存期限；</w:t>
      </w:r>
    </w:p>
    <w:p w14:paraId="1B145885">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（4）记录的存储媒介（例如纸质副本或电子媒介）；</w:t>
      </w:r>
    </w:p>
    <w:p w14:paraId="0BB6431C">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（5）保障记录清晰可读、最大限度降低损坏或丢失风险的方式。</w:t>
      </w:r>
    </w:p>
    <w:p w14:paraId="6938450B">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szCs w:val="32"/>
          <w:lang w:eastAsia="zh-CN"/>
        </w:rPr>
      </w:pPr>
      <w:bookmarkStart w:id="103" w:name="_Toc24554"/>
      <w:bookmarkStart w:id="104" w:name="_Toc27268"/>
      <w:bookmarkStart w:id="105" w:name="_Toc29894"/>
      <w:bookmarkStart w:id="106" w:name="_Toc18082"/>
      <w:bookmarkStart w:id="107" w:name="_Toc13560"/>
      <w:bookmarkStart w:id="108" w:name="_Toc11490"/>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.2.8 质量管理内部</w:t>
      </w:r>
      <w:bookmarkEnd w:id="103"/>
      <w:bookmarkEnd w:id="104"/>
      <w:bookmarkEnd w:id="105"/>
      <w:bookmarkEnd w:id="106"/>
      <w:bookmarkEnd w:id="107"/>
      <w:bookmarkEnd w:id="108"/>
      <w:r>
        <w:rPr>
          <w:rFonts w:hint="eastAsia" w:ascii="仿宋_GB2312" w:hAnsi="仿宋_GB2312" w:eastAsia="仿宋_GB2312" w:cs="仿宋_GB2312"/>
          <w:b/>
          <w:bCs/>
          <w:color w:val="auto"/>
          <w:spacing w:val="0"/>
          <w:sz w:val="32"/>
          <w:szCs w:val="32"/>
          <w:lang w:val="en-US" w:eastAsia="zh-CN"/>
        </w:rPr>
        <w:t>审计</w:t>
      </w:r>
    </w:p>
    <w:p w14:paraId="5F66D11C">
      <w:pPr>
        <w:tabs>
          <w:tab w:val="left" w:pos="8580"/>
        </w:tabs>
        <w:spacing w:line="360" w:lineRule="auto"/>
        <w:ind w:left="0" w:right="440" w:rightChars="200" w:firstLine="632" w:firstLineChars="200"/>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为全面、系统地识别、分析和评估导航数据库管理中可能存在的风险与问题，持续改进导航数据库管理水平，航空运营人应建立内部</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规定，对导航数据库管理的各项质量管理程序及相关记录进行</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，并保留</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记录。</w:t>
      </w:r>
    </w:p>
    <w:p w14:paraId="012C1DCD">
      <w:pPr>
        <w:tabs>
          <w:tab w:val="left" w:pos="8580"/>
        </w:tabs>
        <w:spacing w:line="360" w:lineRule="auto"/>
        <w:ind w:left="6" w:right="440" w:rightChars="200" w:firstLine="581"/>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内部</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规定应明确负责内部</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的人员构成方式。内部</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应由导航数据</w:t>
      </w:r>
      <w:r>
        <w:rPr>
          <w:rFonts w:hint="eastAsia" w:ascii="仿宋_GB2312" w:hAnsi="仿宋_GB2312" w:eastAsia="仿宋_GB2312" w:cs="仿宋_GB2312"/>
          <w:bCs/>
          <w:color w:val="auto"/>
          <w:spacing w:val="-2"/>
          <w:sz w:val="32"/>
          <w:szCs w:val="32"/>
          <w:lang w:val="en-US" w:eastAsia="zh-CN"/>
        </w:rPr>
        <w:t>库</w:t>
      </w:r>
      <w:r>
        <w:rPr>
          <w:rFonts w:hint="eastAsia" w:ascii="仿宋_GB2312" w:hAnsi="仿宋_GB2312" w:eastAsia="仿宋_GB2312" w:cs="仿宋_GB2312"/>
          <w:bCs/>
          <w:color w:val="auto"/>
          <w:spacing w:val="-2"/>
          <w:sz w:val="32"/>
          <w:szCs w:val="32"/>
        </w:rPr>
        <w:t>管理机构以外的部门组织实施，例如航空运营人质量管理部门。</w:t>
      </w:r>
    </w:p>
    <w:p w14:paraId="44042CE4">
      <w:pPr>
        <w:tabs>
          <w:tab w:val="left" w:pos="8580"/>
        </w:tabs>
        <w:spacing w:line="360" w:lineRule="auto"/>
        <w:ind w:left="6" w:right="440" w:rightChars="200" w:firstLine="581"/>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内部</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的内容应至少包括以下方面：</w:t>
      </w:r>
    </w:p>
    <w:p w14:paraId="02C5B8AD">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（1）工作程序是否满足要求；</w:t>
      </w:r>
    </w:p>
    <w:p w14:paraId="5981851E">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（2）人员能力是否满足要求；</w:t>
      </w:r>
    </w:p>
    <w:p w14:paraId="1269AA7D">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（3）数据供应商是否保持资质；</w:t>
      </w:r>
    </w:p>
    <w:p w14:paraId="59DBED50">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（4）导航数据库相关的问题、差错或异常是否得到处理；</w:t>
      </w:r>
    </w:p>
    <w:p w14:paraId="6D127D72">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（5）相关记录是否完整有效。</w:t>
      </w:r>
    </w:p>
    <w:p w14:paraId="04A34EAA">
      <w:pPr>
        <w:tabs>
          <w:tab w:val="left" w:pos="8580"/>
        </w:tabs>
        <w:spacing w:line="360" w:lineRule="auto"/>
        <w:ind w:left="6" w:right="440" w:rightChars="200" w:firstLine="581"/>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内部</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应每年开展，两次完成</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的间隔不超过12个月。内部</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可以一次性全面</w:t>
      </w:r>
      <w:r>
        <w:rPr>
          <w:rFonts w:hint="eastAsia" w:ascii="仿宋_GB2312" w:hAnsi="仿宋_GB2312" w:eastAsia="仿宋_GB2312" w:cs="仿宋_GB2312"/>
          <w:bCs/>
          <w:color w:val="auto"/>
          <w:spacing w:val="-2"/>
          <w:sz w:val="32"/>
          <w:szCs w:val="32"/>
          <w:lang w:eastAsia="zh-CN"/>
        </w:rPr>
        <w:t>审计</w:t>
      </w:r>
      <w:r>
        <w:rPr>
          <w:rFonts w:hint="eastAsia" w:ascii="仿宋_GB2312" w:hAnsi="仿宋_GB2312" w:eastAsia="仿宋_GB2312" w:cs="仿宋_GB2312"/>
          <w:bCs/>
          <w:color w:val="auto"/>
          <w:spacing w:val="-2"/>
          <w:sz w:val="32"/>
          <w:szCs w:val="32"/>
        </w:rPr>
        <w:t>，也可以分阶段进行，但覆盖所有</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内容后才认为完成</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w:t>
      </w:r>
    </w:p>
    <w:p w14:paraId="0AE37F5C">
      <w:pPr>
        <w:tabs>
          <w:tab w:val="left" w:pos="8580"/>
        </w:tabs>
        <w:spacing w:line="360" w:lineRule="auto"/>
        <w:ind w:left="6" w:right="440" w:rightChars="200" w:firstLine="581"/>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当质量管理程序预计发生重大变化、运行保障水平明显下滑或发生不安全事件时，应及时针对相关问题进行事件驱动型</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。内部</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规定中应明确事件驱动型</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的触发条件。</w:t>
      </w:r>
    </w:p>
    <w:p w14:paraId="61CF275A">
      <w:pPr>
        <w:tabs>
          <w:tab w:val="left" w:pos="8580"/>
        </w:tabs>
        <w:spacing w:line="360" w:lineRule="auto"/>
        <w:ind w:left="6" w:right="440" w:rightChars="200" w:firstLine="581"/>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记录应至少包含以下信息：</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日期、</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执行人员、</w:t>
      </w:r>
      <w:r>
        <w:rPr>
          <w:rFonts w:hint="eastAsia" w:ascii="仿宋_GB2312" w:hAnsi="仿宋_GB2312" w:eastAsia="仿宋_GB2312" w:cs="仿宋_GB2312"/>
          <w:bCs/>
          <w:color w:val="auto"/>
          <w:spacing w:val="-2"/>
          <w:sz w:val="32"/>
          <w:szCs w:val="32"/>
          <w:lang w:val="en-US" w:eastAsia="zh-CN"/>
        </w:rPr>
        <w:t>审计</w:t>
      </w:r>
      <w:r>
        <w:rPr>
          <w:rFonts w:hint="eastAsia" w:ascii="仿宋_GB2312" w:hAnsi="仿宋_GB2312" w:eastAsia="仿宋_GB2312" w:cs="仿宋_GB2312"/>
          <w:bCs/>
          <w:color w:val="auto"/>
          <w:spacing w:val="-2"/>
          <w:sz w:val="32"/>
          <w:szCs w:val="32"/>
        </w:rPr>
        <w:t>内容、存在的不符合项或缺陷及其解决方式。</w:t>
      </w:r>
    </w:p>
    <w:p w14:paraId="587910F7">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szCs w:val="32"/>
        </w:rPr>
      </w:pPr>
      <w:bookmarkStart w:id="109" w:name="_Toc16476"/>
      <w:bookmarkStart w:id="110" w:name="_Toc8745"/>
      <w:bookmarkStart w:id="111" w:name="_Toc12439"/>
      <w:bookmarkStart w:id="112" w:name="_Toc649"/>
      <w:bookmarkStart w:id="113" w:name="_Toc14360"/>
      <w:bookmarkStart w:id="114" w:name="_Toc5614"/>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.2.9 管理评审</w:t>
      </w:r>
      <w:bookmarkEnd w:id="109"/>
      <w:bookmarkEnd w:id="110"/>
      <w:bookmarkEnd w:id="111"/>
      <w:bookmarkEnd w:id="112"/>
      <w:bookmarkEnd w:id="113"/>
      <w:bookmarkEnd w:id="114"/>
    </w:p>
    <w:p w14:paraId="0F51120C">
      <w:pPr>
        <w:tabs>
          <w:tab w:val="left" w:pos="8580"/>
        </w:tabs>
        <w:spacing w:line="360" w:lineRule="auto"/>
        <w:ind w:left="6" w:right="440" w:rightChars="200" w:firstLine="578"/>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lang w:eastAsia="zh-CN"/>
        </w:rPr>
        <w:t>航空</w:t>
      </w:r>
      <w:r>
        <w:rPr>
          <w:rFonts w:hint="eastAsia" w:ascii="仿宋_GB2312" w:hAnsi="仿宋_GB2312" w:eastAsia="仿宋_GB2312" w:cs="仿宋_GB2312"/>
          <w:bCs/>
          <w:color w:val="auto"/>
          <w:spacing w:val="-2"/>
          <w:sz w:val="32"/>
          <w:szCs w:val="32"/>
        </w:rPr>
        <w:t>运营人应建立管理评审规定，以评估管理体系的充分性、适宜性和有效性，推动持续改进。管理评审规定至少应：</w:t>
      </w:r>
    </w:p>
    <w:p w14:paraId="669C40BD">
      <w:pPr>
        <w:tabs>
          <w:tab w:val="left" w:pos="8580"/>
        </w:tabs>
        <w:spacing w:line="360" w:lineRule="auto"/>
        <w:ind w:left="6" w:right="440" w:rightChars="200" w:firstLine="578"/>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（1）明确负责导航数据库管理评审的高级管理人员；</w:t>
      </w:r>
    </w:p>
    <w:p w14:paraId="32184954">
      <w:pPr>
        <w:tabs>
          <w:tab w:val="left" w:pos="8580"/>
        </w:tabs>
        <w:spacing w:line="360" w:lineRule="auto"/>
        <w:ind w:left="6" w:right="440" w:rightChars="200" w:firstLine="578"/>
        <w:jc w:val="both"/>
        <w:rPr>
          <w:rFonts w:hint="eastAsia" w:ascii="仿宋_GB2312" w:hAnsi="仿宋_GB2312" w:eastAsia="仿宋_GB2312" w:cs="仿宋_GB2312"/>
          <w:bCs/>
          <w:i/>
          <w:iCs/>
          <w:color w:val="auto"/>
          <w:spacing w:val="-2"/>
          <w:sz w:val="32"/>
          <w:szCs w:val="32"/>
        </w:rPr>
      </w:pPr>
      <w:r>
        <w:rPr>
          <w:rFonts w:hint="eastAsia" w:ascii="仿宋_GB2312" w:hAnsi="仿宋_GB2312" w:eastAsia="仿宋_GB2312" w:cs="仿宋_GB2312"/>
          <w:bCs/>
          <w:i/>
          <w:iCs/>
          <w:color w:val="auto"/>
          <w:spacing w:val="-2"/>
          <w:sz w:val="32"/>
          <w:szCs w:val="32"/>
        </w:rPr>
        <w:t>注：导航数据库管理的高级管理人员一般指航空运营人运行控制部门领导或以上管理人员。</w:t>
      </w:r>
    </w:p>
    <w:p w14:paraId="6B98C26F">
      <w:pPr>
        <w:tabs>
          <w:tab w:val="left" w:pos="8580"/>
        </w:tabs>
        <w:spacing w:line="360" w:lineRule="auto"/>
        <w:ind w:left="6" w:right="440" w:rightChars="200" w:firstLine="578"/>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（2）明确管理评审的内容，包括确认质量管理程序或规定的有效性，评估采取纠正和预防措施的必要性等。</w:t>
      </w:r>
    </w:p>
    <w:p w14:paraId="683CBC06">
      <w:pPr>
        <w:tabs>
          <w:tab w:val="left" w:pos="8580"/>
        </w:tabs>
        <w:spacing w:line="360" w:lineRule="auto"/>
        <w:ind w:left="6" w:right="440" w:rightChars="200" w:firstLine="578"/>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管理评审应每年开展，两次管理评审的间隔不超过12个月。管理评审活动须保留完整的记录。</w:t>
      </w:r>
    </w:p>
    <w:p w14:paraId="29BD11E8">
      <w:pPr>
        <w:pStyle w:val="2"/>
        <w:tabs>
          <w:tab w:val="left" w:pos="8580"/>
        </w:tabs>
        <w:spacing w:before="100" w:beforeAutospacing="1" w:after="100" w:afterAutospacing="1" w:line="240" w:lineRule="auto"/>
        <w:ind w:right="440" w:rightChars="200"/>
        <w:rPr>
          <w:rFonts w:hint="eastAsia" w:ascii="黑体" w:hAnsi="黑体" w:cs="黑体"/>
          <w:b w:val="0"/>
          <w:bCs w:val="0"/>
          <w:color w:val="auto"/>
          <w:sz w:val="32"/>
          <w:szCs w:val="32"/>
        </w:rPr>
      </w:pPr>
      <w:bookmarkStart w:id="115" w:name="_Toc23145"/>
      <w:bookmarkStart w:id="116" w:name="_Toc10786"/>
      <w:bookmarkStart w:id="117" w:name="_Toc25617"/>
      <w:bookmarkStart w:id="118" w:name="_Toc13083"/>
      <w:bookmarkStart w:id="119" w:name="_Toc16359"/>
      <w:bookmarkStart w:id="120" w:name="_Toc20087"/>
      <w:r>
        <w:rPr>
          <w:rFonts w:hint="eastAsia" w:ascii="黑体" w:hAnsi="黑体" w:cs="黑体"/>
          <w:b w:val="0"/>
          <w:bCs w:val="0"/>
          <w:color w:val="auto"/>
          <w:sz w:val="32"/>
          <w:szCs w:val="32"/>
          <w:lang w:val="en-US" w:eastAsia="zh-CN"/>
        </w:rPr>
        <w:t>7</w:t>
      </w:r>
      <w:r>
        <w:rPr>
          <w:rFonts w:hint="eastAsia" w:ascii="黑体" w:hAnsi="黑体" w:cs="黑体"/>
          <w:b w:val="0"/>
          <w:bCs w:val="0"/>
          <w:color w:val="auto"/>
          <w:sz w:val="32"/>
          <w:szCs w:val="32"/>
        </w:rPr>
        <w:t>.导航数据库工作流程</w:t>
      </w:r>
      <w:bookmarkEnd w:id="115"/>
      <w:bookmarkEnd w:id="116"/>
      <w:bookmarkEnd w:id="117"/>
      <w:bookmarkEnd w:id="118"/>
      <w:bookmarkEnd w:id="119"/>
      <w:bookmarkEnd w:id="120"/>
    </w:p>
    <w:p w14:paraId="72A80F70">
      <w:pPr>
        <w:pStyle w:val="3"/>
        <w:tabs>
          <w:tab w:val="left" w:pos="8580"/>
        </w:tabs>
        <w:spacing w:before="100" w:beforeAutospacing="1" w:after="100" w:afterAutospacing="1" w:line="240" w:lineRule="auto"/>
        <w:ind w:right="440" w:rightChars="200"/>
        <w:rPr>
          <w:rFonts w:hint="eastAsia" w:ascii="黑体" w:hAnsi="黑体" w:eastAsia="黑体" w:cs="黑体"/>
          <w:b w:val="0"/>
          <w:bCs w:val="0"/>
          <w:color w:val="auto"/>
          <w:spacing w:val="0"/>
          <w:sz w:val="32"/>
          <w:szCs w:val="32"/>
        </w:rPr>
      </w:pPr>
      <w:bookmarkStart w:id="121" w:name="_Toc23605"/>
      <w:bookmarkStart w:id="122" w:name="_Toc27676"/>
      <w:bookmarkStart w:id="123" w:name="_Toc18837"/>
      <w:bookmarkStart w:id="124" w:name="_Toc14379"/>
      <w:bookmarkStart w:id="125" w:name="_Toc31291"/>
      <w:bookmarkStart w:id="126" w:name="_Toc13338"/>
      <w:r>
        <w:rPr>
          <w:rFonts w:hint="eastAsia" w:ascii="黑体" w:hAnsi="黑体" w:eastAsia="黑体" w:cs="黑体"/>
          <w:b w:val="0"/>
          <w:bCs w:val="0"/>
          <w:color w:val="auto"/>
          <w:spacing w:val="0"/>
          <w:sz w:val="32"/>
          <w:szCs w:val="32"/>
          <w:lang w:val="en-US" w:eastAsia="zh-CN"/>
        </w:rPr>
        <w:t>7</w:t>
      </w:r>
      <w:r>
        <w:rPr>
          <w:rFonts w:hint="eastAsia" w:ascii="黑体" w:hAnsi="黑体" w:eastAsia="黑体" w:cs="黑体"/>
          <w:b w:val="0"/>
          <w:bCs w:val="0"/>
          <w:color w:val="auto"/>
          <w:spacing w:val="0"/>
          <w:sz w:val="32"/>
          <w:szCs w:val="32"/>
        </w:rPr>
        <w:t>.1 一般工作流程</w:t>
      </w:r>
      <w:bookmarkEnd w:id="121"/>
      <w:bookmarkEnd w:id="122"/>
      <w:bookmarkEnd w:id="123"/>
      <w:bookmarkEnd w:id="124"/>
      <w:bookmarkEnd w:id="125"/>
      <w:bookmarkEnd w:id="126"/>
    </w:p>
    <w:p w14:paraId="659232EE">
      <w:pPr>
        <w:tabs>
          <w:tab w:val="left" w:pos="8580"/>
        </w:tabs>
        <w:spacing w:line="360" w:lineRule="auto"/>
        <w:ind w:left="0" w:right="440" w:rightChars="200" w:firstLine="632" w:firstLineChars="200"/>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根据运行上导航数据库的使用特点，航空运营人对导航数据库的日常管理具有周期性，一般涉及以下工作流程：提交需求、接收导航数据库、质量检查、装载、机组使用、监控及报告。</w:t>
      </w:r>
    </w:p>
    <w:p w14:paraId="7A3D1CBC">
      <w:pPr>
        <w:pStyle w:val="6"/>
        <w:tabs>
          <w:tab w:val="left" w:pos="8580"/>
        </w:tabs>
        <w:spacing w:line="360" w:lineRule="auto"/>
        <w:ind w:left="0" w:right="440" w:rightChars="200" w:firstLine="632"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pacing w:val="-2"/>
          <w:sz w:val="32"/>
          <w:szCs w:val="32"/>
        </w:rPr>
        <w:t>航空运营人如不具备导航数据库日常管理能力，可以委托具备管理能力的其他航空运营人或第三方，协助完成导航数据库管理工作。如发生委托，航空运营人应向局</w:t>
      </w:r>
      <w:r>
        <w:rPr>
          <w:rFonts w:hint="eastAsia" w:ascii="仿宋_GB2312" w:hAnsi="仿宋_GB2312" w:eastAsia="仿宋_GB2312" w:cs="仿宋_GB2312"/>
          <w:b w:val="0"/>
          <w:color w:val="auto"/>
          <w:sz w:val="32"/>
          <w:szCs w:val="32"/>
        </w:rPr>
        <w:t>方申请修订运行规范A0017和（或）相关运行手册。导航数据库管理的最终责任仍在航空运营人，航空运营人应对受托方实施监督和管理。</w:t>
      </w:r>
    </w:p>
    <w:p w14:paraId="53D6E48C">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rPr>
      </w:pPr>
      <w:bookmarkStart w:id="127" w:name="_Toc24369"/>
      <w:bookmarkStart w:id="128" w:name="_Toc7550"/>
      <w:bookmarkStart w:id="129" w:name="_Toc30834"/>
      <w:bookmarkStart w:id="130" w:name="_Toc4331"/>
      <w:bookmarkStart w:id="131" w:name="_Toc26667"/>
      <w:bookmarkStart w:id="132" w:name="_Toc18614"/>
      <w:r>
        <w:rPr>
          <w:rFonts w:hint="eastAsia" w:ascii="仿宋_GB2312" w:hAnsi="仿宋_GB2312" w:eastAsia="仿宋_GB2312" w:cs="仿宋_GB2312"/>
          <w:b/>
          <w:bCs/>
          <w:color w:val="auto"/>
          <w:spacing w:val="0"/>
          <w:sz w:val="32"/>
          <w:szCs w:val="32"/>
          <w:lang w:val="en-US" w:eastAsia="zh-CN"/>
        </w:rPr>
        <w:t>7</w:t>
      </w:r>
      <w:r>
        <w:rPr>
          <w:rFonts w:hint="eastAsia" w:ascii="仿宋_GB2312" w:hAnsi="仿宋_GB2312" w:eastAsia="仿宋_GB2312" w:cs="仿宋_GB2312"/>
          <w:b/>
          <w:bCs/>
          <w:color w:val="auto"/>
          <w:spacing w:val="0"/>
          <w:sz w:val="32"/>
          <w:szCs w:val="32"/>
        </w:rPr>
        <w:t>.1.1 提交导航数据库需求</w:t>
      </w:r>
      <w:bookmarkEnd w:id="127"/>
      <w:bookmarkEnd w:id="128"/>
      <w:bookmarkEnd w:id="129"/>
      <w:bookmarkEnd w:id="130"/>
      <w:bookmarkEnd w:id="131"/>
      <w:bookmarkEnd w:id="132"/>
    </w:p>
    <w:p w14:paraId="0D908797">
      <w:pPr>
        <w:tabs>
          <w:tab w:val="left" w:pos="8580"/>
        </w:tabs>
        <w:spacing w:line="360" w:lineRule="auto"/>
        <w:ind w:right="440" w:rightChars="200" w:firstLine="668" w:firstLineChars="200"/>
        <w:jc w:val="both"/>
        <w:rPr>
          <w:rFonts w:hint="eastAsia" w:ascii="仿宋_GB2312" w:hAnsi="仿宋_GB2312" w:eastAsia="仿宋_GB2312" w:cs="仿宋_GB2312"/>
          <w:bCs/>
          <w:color w:val="auto"/>
          <w:spacing w:val="7"/>
          <w:sz w:val="32"/>
          <w:szCs w:val="32"/>
        </w:rPr>
      </w:pPr>
      <w:r>
        <w:rPr>
          <w:rFonts w:hint="eastAsia" w:ascii="仿宋_GB2312" w:hAnsi="仿宋_GB2312" w:eastAsia="仿宋_GB2312" w:cs="仿宋_GB2312"/>
          <w:bCs/>
          <w:color w:val="auto"/>
          <w:spacing w:val="7"/>
          <w:sz w:val="32"/>
          <w:szCs w:val="32"/>
        </w:rPr>
        <w:t>在每一个导航数据库管理周期中，导航数据库管理机构应结合本公司运行和数据库具体情况，及时收集和整理客户化数据制作需求和标准数据选取需求，并按约定的方式在数据需求提交截止日期前提交给数据供应商。</w:t>
      </w:r>
    </w:p>
    <w:p w14:paraId="273EF383">
      <w:pPr>
        <w:tabs>
          <w:tab w:val="left" w:pos="8580"/>
        </w:tabs>
        <w:spacing w:line="360" w:lineRule="auto"/>
        <w:ind w:right="440" w:rightChars="200" w:firstLine="668" w:firstLineChars="200"/>
        <w:jc w:val="both"/>
        <w:rPr>
          <w:rFonts w:hint="eastAsia" w:ascii="仿宋_GB2312" w:hAnsi="仿宋_GB2312" w:eastAsia="仿宋_GB2312" w:cs="仿宋_GB2312"/>
          <w:bCs/>
          <w:color w:val="auto"/>
          <w:spacing w:val="7"/>
          <w:sz w:val="32"/>
          <w:szCs w:val="32"/>
        </w:rPr>
      </w:pPr>
      <w:r>
        <w:rPr>
          <w:rFonts w:hint="eastAsia" w:ascii="仿宋_GB2312" w:hAnsi="仿宋_GB2312" w:eastAsia="仿宋_GB2312" w:cs="仿宋_GB2312"/>
          <w:bCs/>
          <w:color w:val="auto"/>
          <w:spacing w:val="7"/>
          <w:sz w:val="32"/>
          <w:szCs w:val="32"/>
        </w:rPr>
        <w:t>对于数据供应商反馈的导航数据库需求问题，</w:t>
      </w:r>
      <w:r>
        <w:rPr>
          <w:rFonts w:hint="eastAsia" w:ascii="仿宋_GB2312" w:hAnsi="仿宋_GB2312" w:eastAsia="仿宋_GB2312" w:cs="仿宋_GB2312"/>
          <w:bCs/>
          <w:color w:val="auto"/>
          <w:spacing w:val="7"/>
          <w:sz w:val="32"/>
          <w:szCs w:val="32"/>
          <w:lang w:eastAsia="zh-CN"/>
        </w:rPr>
        <w:t>导航数据库管理机构应</w:t>
      </w:r>
      <w:r>
        <w:rPr>
          <w:rFonts w:hint="eastAsia" w:ascii="仿宋_GB2312" w:hAnsi="仿宋_GB2312" w:eastAsia="仿宋_GB2312" w:cs="仿宋_GB2312"/>
          <w:bCs/>
          <w:color w:val="auto"/>
          <w:spacing w:val="7"/>
          <w:sz w:val="32"/>
          <w:szCs w:val="32"/>
        </w:rPr>
        <w:t>及时跟进解决。</w:t>
      </w:r>
    </w:p>
    <w:p w14:paraId="2550CFC4">
      <w:pPr>
        <w:tabs>
          <w:tab w:val="left" w:pos="8580"/>
        </w:tabs>
        <w:spacing w:line="360" w:lineRule="auto"/>
        <w:ind w:right="440" w:rightChars="200" w:firstLine="668" w:firstLineChars="200"/>
        <w:jc w:val="both"/>
        <w:rPr>
          <w:rFonts w:hint="eastAsia" w:ascii="仿宋_GB2312" w:hAnsi="仿宋_GB2312" w:eastAsia="仿宋_GB2312" w:cs="仿宋_GB2312"/>
          <w:bCs/>
          <w:color w:val="auto"/>
          <w:spacing w:val="7"/>
          <w:sz w:val="32"/>
          <w:szCs w:val="32"/>
        </w:rPr>
      </w:pPr>
      <w:r>
        <w:rPr>
          <w:rFonts w:hint="eastAsia" w:ascii="仿宋_GB2312" w:hAnsi="仿宋_GB2312" w:eastAsia="仿宋_GB2312" w:cs="仿宋_GB2312"/>
          <w:bCs/>
          <w:color w:val="auto"/>
          <w:spacing w:val="7"/>
          <w:sz w:val="32"/>
          <w:szCs w:val="32"/>
        </w:rPr>
        <w:t>导航数据库管理机构应建立导航数据库需求及相关反馈处理过程的记录。</w:t>
      </w:r>
    </w:p>
    <w:p w14:paraId="55E02305">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rPr>
      </w:pPr>
      <w:bookmarkStart w:id="133" w:name="_Toc544"/>
      <w:bookmarkStart w:id="134" w:name="_Toc15546"/>
      <w:bookmarkStart w:id="135" w:name="_Toc6123"/>
      <w:bookmarkStart w:id="136" w:name="_Toc31952"/>
      <w:bookmarkStart w:id="137" w:name="_Toc31324"/>
      <w:bookmarkStart w:id="138" w:name="_Toc1687"/>
      <w:r>
        <w:rPr>
          <w:rFonts w:hint="eastAsia" w:ascii="仿宋_GB2312" w:hAnsi="仿宋_GB2312" w:eastAsia="仿宋_GB2312" w:cs="仿宋_GB2312"/>
          <w:b/>
          <w:bCs/>
          <w:color w:val="auto"/>
          <w:spacing w:val="0"/>
          <w:sz w:val="32"/>
          <w:szCs w:val="32"/>
          <w:lang w:val="en-US" w:eastAsia="zh-CN"/>
        </w:rPr>
        <w:t>7</w:t>
      </w:r>
      <w:r>
        <w:rPr>
          <w:rFonts w:hint="eastAsia" w:ascii="仿宋_GB2312" w:hAnsi="仿宋_GB2312" w:eastAsia="仿宋_GB2312" w:cs="仿宋_GB2312"/>
          <w:b/>
          <w:bCs/>
          <w:color w:val="auto"/>
          <w:spacing w:val="0"/>
          <w:sz w:val="32"/>
          <w:szCs w:val="32"/>
        </w:rPr>
        <w:t>.1.2 接收导航数据库</w:t>
      </w:r>
      <w:bookmarkEnd w:id="133"/>
      <w:bookmarkEnd w:id="134"/>
      <w:bookmarkEnd w:id="135"/>
      <w:bookmarkEnd w:id="136"/>
      <w:bookmarkEnd w:id="137"/>
      <w:bookmarkEnd w:id="138"/>
    </w:p>
    <w:p w14:paraId="6A94D895">
      <w:pPr>
        <w:tabs>
          <w:tab w:val="left" w:pos="8580"/>
        </w:tabs>
        <w:spacing w:line="360" w:lineRule="auto"/>
        <w:ind w:right="440" w:rightChars="200" w:firstLine="668" w:firstLineChars="200"/>
        <w:jc w:val="both"/>
        <w:rPr>
          <w:rFonts w:hint="eastAsia" w:ascii="仿宋_GB2312" w:hAnsi="仿宋_GB2312" w:eastAsia="仿宋_GB2312" w:cs="仿宋_GB2312"/>
          <w:bCs/>
          <w:color w:val="auto"/>
          <w:spacing w:val="7"/>
          <w:sz w:val="32"/>
          <w:szCs w:val="32"/>
        </w:rPr>
      </w:pPr>
      <w:r>
        <w:rPr>
          <w:rFonts w:hint="eastAsia" w:ascii="仿宋_GB2312" w:hAnsi="仿宋_GB2312" w:eastAsia="仿宋_GB2312" w:cs="仿宋_GB2312"/>
          <w:bCs/>
          <w:color w:val="auto"/>
          <w:spacing w:val="7"/>
          <w:sz w:val="32"/>
          <w:szCs w:val="32"/>
        </w:rPr>
        <w:t>导航数据库管理机构应及时从数据供应商接收已制作完成的导航数据库。数据供应商一般会随导航数据库一并交付发布声明。</w:t>
      </w:r>
    </w:p>
    <w:p w14:paraId="1B08B8CC">
      <w:pPr>
        <w:tabs>
          <w:tab w:val="left" w:pos="8580"/>
        </w:tabs>
        <w:spacing w:line="360" w:lineRule="auto"/>
        <w:ind w:right="440" w:rightChars="200" w:firstLine="668" w:firstLineChars="200"/>
        <w:jc w:val="both"/>
        <w:rPr>
          <w:rFonts w:hint="eastAsia" w:ascii="仿宋_GB2312" w:hAnsi="仿宋_GB2312" w:eastAsia="仿宋_GB2312" w:cs="仿宋_GB2312"/>
          <w:bCs/>
          <w:color w:val="auto"/>
          <w:spacing w:val="7"/>
          <w:sz w:val="32"/>
          <w:szCs w:val="32"/>
        </w:rPr>
      </w:pPr>
      <w:r>
        <w:rPr>
          <w:rFonts w:hint="eastAsia" w:ascii="仿宋_GB2312" w:hAnsi="仿宋_GB2312" w:eastAsia="仿宋_GB2312" w:cs="仿宋_GB2312"/>
          <w:bCs/>
          <w:color w:val="auto"/>
          <w:spacing w:val="7"/>
          <w:sz w:val="32"/>
          <w:szCs w:val="32"/>
        </w:rPr>
        <w:t>导航数据库接收时，应查阅数据供应商关于导航数据库的发布声明，以确认数据供应商资质的有效性，核对数据库ID准确性，并获取所有已知的数据偏离与更改信息。</w:t>
      </w:r>
    </w:p>
    <w:p w14:paraId="52F01909">
      <w:pPr>
        <w:tabs>
          <w:tab w:val="left" w:pos="8580"/>
        </w:tabs>
        <w:spacing w:line="360" w:lineRule="auto"/>
        <w:ind w:right="440" w:rightChars="200" w:firstLine="660" w:firstLineChars="200"/>
        <w:jc w:val="both"/>
        <w:rPr>
          <w:rFonts w:hint="eastAsia" w:ascii="仿宋_GB2312" w:hAnsi="仿宋_GB2312" w:eastAsia="仿宋_GB2312" w:cs="仿宋_GB2312"/>
          <w:bCs/>
          <w:color w:val="auto"/>
          <w:spacing w:val="7"/>
          <w:sz w:val="32"/>
          <w:szCs w:val="32"/>
        </w:rPr>
      </w:pPr>
      <w:r>
        <w:rPr>
          <w:rFonts w:hint="eastAsia" w:ascii="仿宋_GB2312" w:hAnsi="仿宋_GB2312" w:eastAsia="仿宋_GB2312" w:cs="仿宋_GB2312"/>
          <w:bCs/>
          <w:color w:val="auto"/>
          <w:spacing w:val="5"/>
          <w:sz w:val="32"/>
          <w:szCs w:val="32"/>
        </w:rPr>
        <w:t>导航数据库接收后，应</w:t>
      </w:r>
      <w:r>
        <w:rPr>
          <w:rFonts w:hint="eastAsia" w:ascii="仿宋_GB2312" w:hAnsi="仿宋_GB2312" w:eastAsia="仿宋_GB2312" w:cs="仿宋_GB2312"/>
          <w:bCs/>
          <w:color w:val="auto"/>
          <w:spacing w:val="7"/>
          <w:sz w:val="32"/>
          <w:szCs w:val="32"/>
        </w:rPr>
        <w:t>检查数据库完好性和完整性。数据供应商交付的导航数据库通常使用专属格式并使用完好性保护技术，导航数据库管理机构应使用适当的数据管理工具查阅导航数据，确认导航数据库可正常浏览，数据范围符合本公司需求。</w:t>
      </w:r>
    </w:p>
    <w:p w14:paraId="09E659F7">
      <w:pPr>
        <w:tabs>
          <w:tab w:val="left" w:pos="8580"/>
        </w:tabs>
        <w:spacing w:line="360" w:lineRule="auto"/>
        <w:ind w:right="440" w:rightChars="200" w:firstLine="648" w:firstLineChars="200"/>
        <w:jc w:val="both"/>
        <w:rPr>
          <w:rFonts w:hint="eastAsia" w:ascii="仿宋_GB2312" w:hAnsi="仿宋_GB2312" w:eastAsia="仿宋_GB2312" w:cs="仿宋_GB2312"/>
          <w:bCs/>
          <w:i/>
          <w:color w:val="auto"/>
          <w:spacing w:val="7"/>
          <w:sz w:val="32"/>
          <w:szCs w:val="32"/>
        </w:rPr>
      </w:pPr>
      <w:r>
        <w:rPr>
          <w:rFonts w:hint="eastAsia" w:ascii="仿宋_GB2312" w:hAnsi="仿宋_GB2312" w:eastAsia="仿宋_GB2312" w:cs="仿宋_GB2312"/>
          <w:bCs/>
          <w:i/>
          <w:color w:val="auto"/>
          <w:spacing w:val="2"/>
          <w:sz w:val="32"/>
          <w:szCs w:val="32"/>
        </w:rPr>
        <w:t>注：导航数据库通常包含新旧两个周期的数据，如接收的数据库仅包含一个周期数据，</w:t>
      </w:r>
      <w:r>
        <w:rPr>
          <w:rFonts w:hint="eastAsia" w:ascii="仿宋_GB2312" w:hAnsi="仿宋_GB2312" w:eastAsia="仿宋_GB2312" w:cs="仿宋_GB2312"/>
          <w:bCs/>
          <w:i/>
          <w:color w:val="auto"/>
          <w:spacing w:val="2"/>
          <w:sz w:val="32"/>
          <w:szCs w:val="32"/>
          <w:lang w:eastAsia="zh-CN"/>
        </w:rPr>
        <w:t>导航数据库管理机构</w:t>
      </w:r>
      <w:r>
        <w:rPr>
          <w:rFonts w:hint="eastAsia" w:ascii="仿宋_GB2312" w:hAnsi="仿宋_GB2312" w:eastAsia="仿宋_GB2312" w:cs="仿宋_GB2312"/>
          <w:bCs/>
          <w:i/>
          <w:color w:val="auto"/>
          <w:spacing w:val="2"/>
          <w:sz w:val="32"/>
          <w:szCs w:val="32"/>
        </w:rPr>
        <w:t>应及时联系数据供应商重新发布完整的导航数据库。</w:t>
      </w:r>
    </w:p>
    <w:p w14:paraId="4B846B22">
      <w:pPr>
        <w:tabs>
          <w:tab w:val="left" w:pos="8580"/>
        </w:tabs>
        <w:spacing w:line="360" w:lineRule="auto"/>
        <w:ind w:right="440" w:rightChars="200" w:firstLine="668" w:firstLineChars="200"/>
        <w:jc w:val="both"/>
        <w:rPr>
          <w:rFonts w:hint="eastAsia" w:ascii="仿宋_GB2312" w:hAnsi="仿宋_GB2312" w:eastAsia="仿宋_GB2312" w:cs="仿宋_GB2312"/>
          <w:bCs/>
          <w:color w:val="auto"/>
          <w:spacing w:val="7"/>
          <w:sz w:val="32"/>
          <w:szCs w:val="32"/>
        </w:rPr>
      </w:pPr>
      <w:r>
        <w:rPr>
          <w:rFonts w:hint="eastAsia" w:ascii="仿宋_GB2312" w:hAnsi="仿宋_GB2312" w:eastAsia="仿宋_GB2312" w:cs="仿宋_GB2312"/>
          <w:bCs/>
          <w:color w:val="auto"/>
          <w:spacing w:val="7"/>
          <w:sz w:val="32"/>
          <w:szCs w:val="32"/>
        </w:rPr>
        <w:t>如在接收环节发现任何异常，</w:t>
      </w:r>
      <w:r>
        <w:rPr>
          <w:rFonts w:hint="eastAsia" w:ascii="仿宋_GB2312" w:hAnsi="仿宋_GB2312" w:eastAsia="仿宋_GB2312" w:cs="仿宋_GB2312"/>
          <w:bCs/>
          <w:i w:val="0"/>
          <w:iCs/>
          <w:color w:val="auto"/>
          <w:spacing w:val="2"/>
          <w:sz w:val="32"/>
          <w:szCs w:val="32"/>
          <w:lang w:eastAsia="zh-CN"/>
        </w:rPr>
        <w:t>导航数据库管理机构应</w:t>
      </w:r>
      <w:r>
        <w:rPr>
          <w:rFonts w:hint="eastAsia" w:ascii="仿宋_GB2312" w:hAnsi="仿宋_GB2312" w:eastAsia="仿宋_GB2312" w:cs="仿宋_GB2312"/>
          <w:bCs/>
          <w:color w:val="auto"/>
          <w:spacing w:val="7"/>
          <w:sz w:val="32"/>
          <w:szCs w:val="32"/>
        </w:rPr>
        <w:t>及时向数据供应商反馈并跟进解决。</w:t>
      </w:r>
    </w:p>
    <w:p w14:paraId="65F297F6">
      <w:pPr>
        <w:tabs>
          <w:tab w:val="left" w:pos="8580"/>
        </w:tabs>
        <w:spacing w:line="360" w:lineRule="auto"/>
        <w:ind w:right="440" w:rightChars="200" w:firstLine="668" w:firstLineChars="200"/>
        <w:jc w:val="both"/>
        <w:rPr>
          <w:rFonts w:hint="eastAsia" w:ascii="仿宋_GB2312" w:hAnsi="仿宋_GB2312" w:eastAsia="仿宋_GB2312" w:cs="仿宋_GB2312"/>
          <w:bCs/>
          <w:color w:val="auto"/>
          <w:spacing w:val="7"/>
          <w:sz w:val="32"/>
          <w:szCs w:val="32"/>
        </w:rPr>
      </w:pPr>
      <w:r>
        <w:rPr>
          <w:rFonts w:hint="eastAsia" w:ascii="仿宋_GB2312" w:hAnsi="仿宋_GB2312" w:eastAsia="仿宋_GB2312" w:cs="仿宋_GB2312"/>
          <w:bCs/>
          <w:color w:val="auto"/>
          <w:spacing w:val="7"/>
          <w:sz w:val="32"/>
          <w:szCs w:val="32"/>
        </w:rPr>
        <w:t>导航数据库管理机构应建立导航数据库接收及相关反馈处理过程的记录。</w:t>
      </w:r>
    </w:p>
    <w:p w14:paraId="749198BB">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rPr>
      </w:pPr>
      <w:bookmarkStart w:id="139" w:name="_Toc26779"/>
      <w:bookmarkStart w:id="140" w:name="_Toc17542"/>
      <w:bookmarkStart w:id="141" w:name="_Toc15890"/>
      <w:bookmarkStart w:id="142" w:name="_Toc957"/>
      <w:bookmarkStart w:id="143" w:name="_Toc22601"/>
      <w:bookmarkStart w:id="144" w:name="_Toc10240"/>
      <w:r>
        <w:rPr>
          <w:rFonts w:hint="eastAsia" w:ascii="仿宋_GB2312" w:hAnsi="仿宋_GB2312" w:eastAsia="仿宋_GB2312" w:cs="仿宋_GB2312"/>
          <w:b/>
          <w:bCs/>
          <w:color w:val="auto"/>
          <w:spacing w:val="0"/>
          <w:sz w:val="32"/>
          <w:szCs w:val="32"/>
          <w:lang w:val="en-US" w:eastAsia="zh-CN"/>
        </w:rPr>
        <w:t>7</w:t>
      </w:r>
      <w:r>
        <w:rPr>
          <w:rFonts w:hint="eastAsia" w:ascii="仿宋_GB2312" w:hAnsi="仿宋_GB2312" w:eastAsia="仿宋_GB2312" w:cs="仿宋_GB2312"/>
          <w:b/>
          <w:bCs/>
          <w:color w:val="auto"/>
          <w:spacing w:val="0"/>
          <w:sz w:val="32"/>
          <w:szCs w:val="32"/>
        </w:rPr>
        <w:t>.1.3 导航数据质量检查</w:t>
      </w:r>
      <w:bookmarkEnd w:id="139"/>
      <w:bookmarkEnd w:id="140"/>
      <w:bookmarkEnd w:id="141"/>
      <w:bookmarkEnd w:id="142"/>
      <w:bookmarkEnd w:id="143"/>
      <w:bookmarkEnd w:id="144"/>
    </w:p>
    <w:p w14:paraId="1C09876B">
      <w:pPr>
        <w:tabs>
          <w:tab w:val="left" w:pos="8580"/>
        </w:tabs>
        <w:spacing w:line="360" w:lineRule="auto"/>
        <w:ind w:right="440" w:rightChars="200" w:firstLine="568"/>
        <w:jc w:val="both"/>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3"/>
          <w:sz w:val="32"/>
          <w:szCs w:val="32"/>
        </w:rPr>
        <w:t>在收到新一期导航数据库后，导航数据库管理机构应根据官方数据和提交的客户化需求，结合本公司实际运行，对导航数据库中的数据进行质量检查，确认其与数据源保持一致，且符合质量要求。</w:t>
      </w:r>
    </w:p>
    <w:p w14:paraId="481BEE79">
      <w:pPr>
        <w:tabs>
          <w:tab w:val="left" w:pos="8580"/>
        </w:tabs>
        <w:spacing w:line="360" w:lineRule="auto"/>
        <w:ind w:right="440" w:rightChars="200" w:firstLine="680" w:firstLineChars="200"/>
        <w:jc w:val="both"/>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（1）标准数据来源于官方数据，并通过经批准的数据供应商处理，数据</w:t>
      </w:r>
      <w:r>
        <w:rPr>
          <w:rFonts w:hint="eastAsia" w:ascii="仿宋_GB2312" w:hAnsi="仿宋_GB2312" w:eastAsia="仿宋_GB2312" w:cs="仿宋_GB2312"/>
          <w:bCs/>
          <w:color w:val="auto"/>
          <w:spacing w:val="10"/>
          <w:sz w:val="32"/>
          <w:szCs w:val="32"/>
          <w:lang w:val="en-US" w:eastAsia="zh-CN"/>
        </w:rPr>
        <w:t>质量</w:t>
      </w:r>
      <w:r>
        <w:rPr>
          <w:rFonts w:hint="eastAsia" w:ascii="仿宋_GB2312" w:hAnsi="仿宋_GB2312" w:eastAsia="仿宋_GB2312" w:cs="仿宋_GB2312"/>
          <w:bCs/>
          <w:color w:val="auto"/>
          <w:spacing w:val="10"/>
          <w:sz w:val="32"/>
          <w:szCs w:val="32"/>
        </w:rPr>
        <w:t>得到很大程度的保证，航空运营人对标准数据的质量检查可以免除（RNP AR程序相关数据除</w:t>
      </w:r>
      <w:r>
        <w:rPr>
          <w:rFonts w:hint="eastAsia" w:ascii="仿宋_GB2312" w:hAnsi="仿宋_GB2312" w:eastAsia="仿宋_GB2312" w:cs="仿宋_GB2312"/>
          <w:bCs/>
          <w:color w:val="auto"/>
          <w:spacing w:val="10"/>
          <w:sz w:val="32"/>
          <w:szCs w:val="32"/>
          <w:lang w:eastAsia="zh-CN"/>
        </w:rPr>
        <w:t>外）</w:t>
      </w:r>
      <w:r>
        <w:rPr>
          <w:rFonts w:hint="eastAsia" w:ascii="仿宋_GB2312" w:hAnsi="仿宋_GB2312" w:eastAsia="仿宋_GB2312" w:cs="仿宋_GB2312"/>
          <w:bCs/>
          <w:color w:val="auto"/>
          <w:spacing w:val="10"/>
          <w:sz w:val="32"/>
          <w:szCs w:val="32"/>
        </w:rPr>
        <w:t>。</w:t>
      </w:r>
    </w:p>
    <w:p w14:paraId="27B39BFD">
      <w:pPr>
        <w:tabs>
          <w:tab w:val="left" w:pos="8580"/>
        </w:tabs>
        <w:spacing w:line="360" w:lineRule="auto"/>
        <w:ind w:right="440" w:rightChars="200" w:firstLine="568"/>
        <w:jc w:val="both"/>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2）客户化数据是航空运营人在其完全责任范围内、仅用于自身用途而生成的航空数据，该类数据及其后续更新的责任完全在航空运营人。因此，航空运营人应每周期至少对客户化数据的变更内容进行质量检查（RNP AR程序相关数据除</w:t>
      </w:r>
      <w:r>
        <w:rPr>
          <w:rFonts w:hint="eastAsia" w:ascii="仿宋_GB2312" w:hAnsi="仿宋_GB2312" w:eastAsia="仿宋_GB2312" w:cs="仿宋_GB2312"/>
          <w:bCs/>
          <w:color w:val="auto"/>
          <w:spacing w:val="10"/>
          <w:sz w:val="32"/>
          <w:szCs w:val="32"/>
          <w:lang w:eastAsia="zh-CN"/>
        </w:rPr>
        <w:t>外）。</w:t>
      </w:r>
    </w:p>
    <w:p w14:paraId="51F3E326">
      <w:pPr>
        <w:tabs>
          <w:tab w:val="left" w:pos="8580"/>
        </w:tabs>
        <w:spacing w:line="360" w:lineRule="auto"/>
        <w:ind w:right="440" w:rightChars="200" w:firstLine="568"/>
        <w:jc w:val="both"/>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（3）RNP AR程序相关数据，按照《实施要求授权的所需导航性能（RNP AR）飞行程序的适航和运行批准指南》（AC-91-FS-05-R</w:t>
      </w:r>
      <w:r>
        <w:rPr>
          <w:rFonts w:hint="eastAsia" w:ascii="仿宋_GB2312" w:hAnsi="仿宋_GB2312" w:eastAsia="仿宋_GB2312" w:cs="仿宋_GB2312"/>
          <w:bCs/>
          <w:color w:val="auto"/>
          <w:spacing w:val="10"/>
          <w:sz w:val="32"/>
          <w:szCs w:val="32"/>
          <w:lang w:val="en-US" w:eastAsia="zh-CN"/>
        </w:rPr>
        <w:t>2</w:t>
      </w:r>
      <w:r>
        <w:rPr>
          <w:rFonts w:hint="eastAsia" w:ascii="仿宋_GB2312" w:hAnsi="仿宋_GB2312" w:eastAsia="仿宋_GB2312" w:cs="仿宋_GB2312"/>
          <w:bCs/>
          <w:color w:val="auto"/>
          <w:spacing w:val="10"/>
          <w:sz w:val="32"/>
          <w:szCs w:val="32"/>
        </w:rPr>
        <w:t>）要求，航空运营人应每周期对运行的RNP AR程序相关数据进行完整的质量检查。</w:t>
      </w:r>
    </w:p>
    <w:p w14:paraId="312F405D">
      <w:pPr>
        <w:tabs>
          <w:tab w:val="left" w:pos="8580"/>
        </w:tabs>
        <w:spacing w:line="360" w:lineRule="auto"/>
        <w:ind w:left="10" w:right="440" w:rightChars="200" w:firstLine="568"/>
        <w:rPr>
          <w:rFonts w:hint="eastAsia" w:ascii="仿宋_GB2312" w:hAnsi="仿宋_GB2312" w:eastAsia="仿宋_GB2312" w:cs="仿宋_GB2312"/>
          <w:bCs/>
          <w:i/>
          <w:color w:val="auto"/>
          <w:spacing w:val="10"/>
          <w:sz w:val="32"/>
          <w:szCs w:val="32"/>
        </w:rPr>
      </w:pPr>
      <w:r>
        <w:rPr>
          <w:rFonts w:hint="eastAsia" w:ascii="仿宋_GB2312" w:hAnsi="仿宋_GB2312" w:eastAsia="仿宋_GB2312" w:cs="仿宋_GB2312"/>
          <w:bCs/>
          <w:i/>
          <w:color w:val="auto"/>
          <w:spacing w:val="10"/>
          <w:sz w:val="32"/>
          <w:szCs w:val="32"/>
        </w:rPr>
        <w:t>注：应注意到，尽管要求数据供应商获得</w:t>
      </w:r>
      <w:r>
        <w:rPr>
          <w:rFonts w:hint="eastAsia" w:ascii="仿宋_GB2312" w:hAnsi="仿宋_GB2312" w:eastAsia="仿宋_GB2312" w:cs="仿宋_GB2312"/>
          <w:bCs/>
          <w:i/>
          <w:color w:val="auto"/>
          <w:spacing w:val="10"/>
          <w:sz w:val="32"/>
          <w:szCs w:val="32"/>
          <w:lang w:val="en-US" w:eastAsia="zh-CN"/>
        </w:rPr>
        <w:t>数据库</w:t>
      </w:r>
      <w:r>
        <w:rPr>
          <w:rFonts w:hint="eastAsia" w:ascii="仿宋_GB2312" w:hAnsi="仿宋_GB2312" w:eastAsia="仿宋_GB2312" w:cs="仿宋_GB2312"/>
          <w:bCs/>
          <w:i/>
          <w:color w:val="auto"/>
          <w:spacing w:val="10"/>
          <w:sz w:val="32"/>
          <w:szCs w:val="32"/>
        </w:rPr>
        <w:t>CTSOA，但是仍不能保证其数据库没有任何错误，运营人还需要不断完善自身的数据质量管控程序。</w:t>
      </w:r>
    </w:p>
    <w:p w14:paraId="49BC7CA6">
      <w:pPr>
        <w:tabs>
          <w:tab w:val="left" w:pos="8580"/>
        </w:tabs>
        <w:spacing w:line="360" w:lineRule="auto"/>
        <w:ind w:left="10" w:right="440" w:rightChars="200" w:firstLine="568"/>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对于质量检查中发现的数据差错或异常，应及时联系数据供应商处理。如供应商不能及时处理，导航数据库管理机构须对数据库差异进行评估，按需发布告警信息或公司通告等，提示飞行机组相关运行风险或缓解措施。</w:t>
      </w:r>
    </w:p>
    <w:p w14:paraId="52A0FD50">
      <w:pPr>
        <w:tabs>
          <w:tab w:val="left" w:pos="8580"/>
        </w:tabs>
        <w:spacing w:line="360" w:lineRule="auto"/>
        <w:ind w:left="10" w:right="440" w:rightChars="200" w:firstLine="568"/>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pacing w:val="10"/>
          <w:sz w:val="32"/>
          <w:szCs w:val="32"/>
        </w:rPr>
        <w:t>导航数据库管理机构应建立质量检查及相关反馈处理过程的记录。</w:t>
      </w:r>
    </w:p>
    <w:p w14:paraId="4B505725">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rPr>
      </w:pPr>
      <w:bookmarkStart w:id="145" w:name="_Toc6506"/>
      <w:bookmarkStart w:id="146" w:name="_Toc15907"/>
      <w:bookmarkStart w:id="147" w:name="_Toc24582"/>
      <w:bookmarkStart w:id="148" w:name="_Toc13232"/>
      <w:bookmarkStart w:id="149" w:name="_Toc15293"/>
      <w:bookmarkStart w:id="150" w:name="_Toc8262"/>
      <w:r>
        <w:rPr>
          <w:rFonts w:hint="eastAsia" w:ascii="仿宋_GB2312" w:hAnsi="仿宋_GB2312" w:eastAsia="仿宋_GB2312" w:cs="仿宋_GB2312"/>
          <w:b/>
          <w:bCs/>
          <w:color w:val="auto"/>
          <w:spacing w:val="0"/>
          <w:sz w:val="32"/>
          <w:szCs w:val="32"/>
          <w:lang w:val="en-US" w:eastAsia="zh-CN"/>
        </w:rPr>
        <w:t>7</w:t>
      </w:r>
      <w:r>
        <w:rPr>
          <w:rFonts w:hint="eastAsia" w:ascii="仿宋_GB2312" w:hAnsi="仿宋_GB2312" w:eastAsia="仿宋_GB2312" w:cs="仿宋_GB2312"/>
          <w:b/>
          <w:bCs/>
          <w:color w:val="auto"/>
          <w:spacing w:val="0"/>
          <w:sz w:val="32"/>
          <w:szCs w:val="32"/>
        </w:rPr>
        <w:t>.1.4 导航数据库装载</w:t>
      </w:r>
      <w:bookmarkEnd w:id="145"/>
      <w:bookmarkEnd w:id="146"/>
      <w:bookmarkEnd w:id="147"/>
      <w:bookmarkEnd w:id="148"/>
      <w:bookmarkEnd w:id="149"/>
      <w:bookmarkEnd w:id="150"/>
    </w:p>
    <w:p w14:paraId="2845A1AA">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导航数据库管理机构与机务部门之间须建立数据库传递和信息沟通机制，共同确保及时将正确版本的导航数据库装载到相应机队飞机上。</w:t>
      </w:r>
    </w:p>
    <w:p w14:paraId="57B4267B">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机务部门应建立管理流程，确保在数据周期生效前将导航数据库装载到相应机队飞机上。机务部门应及时向导航数据库管理机构反馈导航数据库装载情况，包括装载完成情况</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装载异常情况等。机务部门如在运行中收到飞行机组反馈有关导航数据库的任何问题，应及时将相关信息反馈至导航数据库管理机构。</w:t>
      </w:r>
    </w:p>
    <w:p w14:paraId="0796C3D2">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pacing w:val="8"/>
          <w:sz w:val="32"/>
          <w:szCs w:val="32"/>
        </w:rPr>
      </w:pPr>
      <w:r>
        <w:rPr>
          <w:rFonts w:hint="eastAsia" w:ascii="仿宋_GB2312" w:hAnsi="仿宋_GB2312" w:eastAsia="仿宋_GB2312" w:cs="仿宋_GB2312"/>
          <w:b w:val="0"/>
          <w:bCs w:val="0"/>
          <w:color w:val="auto"/>
          <w:sz w:val="32"/>
          <w:szCs w:val="32"/>
        </w:rPr>
        <w:t>航空运营人应建立导航数据库装载及相关过程的记录。</w:t>
      </w:r>
    </w:p>
    <w:p w14:paraId="08CA917A">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rPr>
      </w:pPr>
      <w:bookmarkStart w:id="151" w:name="_Toc24967"/>
      <w:bookmarkStart w:id="152" w:name="_Toc10174"/>
      <w:bookmarkStart w:id="153" w:name="_Toc15552"/>
      <w:bookmarkStart w:id="154" w:name="_Toc8146"/>
      <w:bookmarkStart w:id="155" w:name="_Toc8675"/>
      <w:bookmarkStart w:id="156" w:name="_Toc14120"/>
      <w:r>
        <w:rPr>
          <w:rFonts w:hint="eastAsia" w:ascii="仿宋_GB2312" w:hAnsi="仿宋_GB2312" w:eastAsia="仿宋_GB2312" w:cs="仿宋_GB2312"/>
          <w:b/>
          <w:bCs/>
          <w:color w:val="auto"/>
          <w:spacing w:val="0"/>
          <w:sz w:val="32"/>
          <w:szCs w:val="32"/>
          <w:lang w:val="en-US" w:eastAsia="zh-CN"/>
        </w:rPr>
        <w:t>7</w:t>
      </w:r>
      <w:r>
        <w:rPr>
          <w:rFonts w:hint="eastAsia" w:ascii="仿宋_GB2312" w:hAnsi="仿宋_GB2312" w:eastAsia="仿宋_GB2312" w:cs="仿宋_GB2312"/>
          <w:b/>
          <w:bCs/>
          <w:color w:val="auto"/>
          <w:spacing w:val="0"/>
          <w:sz w:val="32"/>
          <w:szCs w:val="32"/>
        </w:rPr>
        <w:t>.1.5 飞行机组使用</w:t>
      </w:r>
      <w:bookmarkEnd w:id="151"/>
      <w:bookmarkEnd w:id="152"/>
      <w:bookmarkEnd w:id="153"/>
      <w:bookmarkEnd w:id="154"/>
      <w:bookmarkEnd w:id="155"/>
      <w:bookmarkEnd w:id="156"/>
    </w:p>
    <w:p w14:paraId="27D9A405">
      <w:pPr>
        <w:pStyle w:val="6"/>
        <w:tabs>
          <w:tab w:val="left" w:pos="8580"/>
        </w:tabs>
        <w:spacing w:line="360" w:lineRule="auto"/>
        <w:ind w:left="0" w:leftChars="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《基于性能导航（PBN）运行和批准指南》（AC-91-FS-001R2）、《实施要求授权的所需导航性能（RNP AR）飞行程序的适航和运行批准指南》（AC-91-FS-05-R</w:t>
      </w:r>
      <w:r>
        <w:rPr>
          <w:rFonts w:hint="eastAsia" w:ascii="仿宋_GB2312" w:hAnsi="仿宋_GB2312" w:eastAsia="仿宋_GB2312" w:cs="仿宋_GB2312"/>
          <w:b w:val="0"/>
          <w:color w:val="auto"/>
          <w:sz w:val="32"/>
          <w:szCs w:val="32"/>
          <w:lang w:val="en-US" w:eastAsia="zh-CN"/>
        </w:rPr>
        <w:t>2</w:t>
      </w:r>
      <w:r>
        <w:rPr>
          <w:rFonts w:hint="eastAsia" w:ascii="仿宋_GB2312" w:hAnsi="仿宋_GB2312" w:eastAsia="仿宋_GB2312" w:cs="仿宋_GB2312"/>
          <w:b w:val="0"/>
          <w:color w:val="auto"/>
          <w:sz w:val="32"/>
          <w:szCs w:val="32"/>
        </w:rPr>
        <w:t>）对飞行人员执行PBN运行及相关导航数据库的培训和使用提出了具体要求，航空运营人及飞行机组应遵照执行。本</w:t>
      </w:r>
      <w:r>
        <w:rPr>
          <w:rFonts w:hint="eastAsia" w:ascii="仿宋_GB2312" w:hAnsi="仿宋_GB2312" w:eastAsia="仿宋_GB2312" w:cs="仿宋_GB2312"/>
          <w:b w:val="0"/>
          <w:color w:val="auto"/>
          <w:sz w:val="32"/>
          <w:szCs w:val="32"/>
          <w:lang w:val="en-US" w:eastAsia="zh-CN"/>
        </w:rPr>
        <w:t>通告</w:t>
      </w:r>
      <w:r>
        <w:rPr>
          <w:rFonts w:hint="eastAsia" w:ascii="仿宋_GB2312" w:hAnsi="仿宋_GB2312" w:eastAsia="仿宋_GB2312" w:cs="仿宋_GB2312"/>
          <w:b w:val="0"/>
          <w:color w:val="auto"/>
          <w:sz w:val="32"/>
          <w:szCs w:val="32"/>
        </w:rPr>
        <w:t>从导航数据库管理角度提出一般要求。</w:t>
      </w:r>
    </w:p>
    <w:p w14:paraId="20D3FD32">
      <w:pPr>
        <w:pStyle w:val="6"/>
        <w:tabs>
          <w:tab w:val="left" w:pos="8580"/>
        </w:tabs>
        <w:spacing w:line="360" w:lineRule="auto"/>
        <w:ind w:left="0" w:leftChars="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飞行机组在飞行前驾驶舱准备时，必须确认导航数据库当前有效。如预见到飞行中发生AIRAC周期更替，航空运营人</w:t>
      </w:r>
      <w:r>
        <w:rPr>
          <w:rFonts w:hint="eastAsia" w:ascii="仿宋_GB2312" w:hAnsi="仿宋_GB2312" w:eastAsia="仿宋_GB2312" w:cs="仿宋_GB2312"/>
          <w:b w:val="0"/>
          <w:color w:val="auto"/>
          <w:sz w:val="32"/>
          <w:szCs w:val="32"/>
          <w:lang w:val="en-US" w:eastAsia="zh-CN"/>
        </w:rPr>
        <w:t>可以使用</w:t>
      </w:r>
      <w:r>
        <w:rPr>
          <w:rFonts w:hint="eastAsia" w:ascii="仿宋_GB2312" w:hAnsi="仿宋_GB2312" w:eastAsia="仿宋_GB2312" w:cs="仿宋_GB2312"/>
          <w:b w:val="0"/>
          <w:color w:val="auto"/>
          <w:sz w:val="32"/>
          <w:szCs w:val="32"/>
        </w:rPr>
        <w:t>新周期或旧周期数据库</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lang w:val="en-US" w:eastAsia="zh-CN"/>
        </w:rPr>
        <w:t>但</w:t>
      </w:r>
      <w:r>
        <w:rPr>
          <w:rFonts w:hint="eastAsia" w:ascii="仿宋_GB2312" w:hAnsi="仿宋_GB2312" w:eastAsia="仿宋_GB2312" w:cs="仿宋_GB2312"/>
          <w:b w:val="0"/>
          <w:color w:val="auto"/>
          <w:sz w:val="32"/>
          <w:szCs w:val="32"/>
        </w:rPr>
        <w:t>应建立相应程序，在起飞前制定飞行计划过程中，充分识别周期更替带来的潜在影响，确保导航数据的准确性和可用性。</w:t>
      </w:r>
    </w:p>
    <w:p w14:paraId="7DF6766F">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pacing w:val="-6"/>
          <w:sz w:val="32"/>
          <w:szCs w:val="32"/>
        </w:rPr>
      </w:pPr>
      <w:r>
        <w:rPr>
          <w:rFonts w:hint="eastAsia" w:ascii="仿宋_GB2312" w:hAnsi="仿宋_GB2312" w:eastAsia="仿宋_GB2312" w:cs="仿宋_GB2312"/>
          <w:b w:val="0"/>
          <w:color w:val="auto"/>
          <w:sz w:val="32"/>
          <w:szCs w:val="32"/>
          <w:lang w:eastAsia="zh-CN"/>
        </w:rPr>
        <w:t>在实施</w:t>
      </w:r>
      <w:r>
        <w:rPr>
          <w:rFonts w:hint="eastAsia" w:ascii="仿宋_GB2312" w:hAnsi="仿宋_GB2312" w:eastAsia="仿宋_GB2312" w:cs="仿宋_GB2312"/>
          <w:b w:val="0"/>
          <w:color w:val="auto"/>
          <w:sz w:val="32"/>
          <w:szCs w:val="32"/>
        </w:rPr>
        <w:t>要求使用导航数据库的运行前（一般指PBN程序），驾驶员应对照航图对当前飞行计划进行检查，至少包括确认跑道、飞行程序、航路点顺序、航迹角度、距离、高度和速度限制等。</w:t>
      </w:r>
    </w:p>
    <w:p w14:paraId="6BEDB0E5">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如在传统飞行程序中使用导航数据库，则导航数据库仅可作为辅助手段使用，驾驶员必须实际调谐、识别和监控相应的传统导航设备，以传统导航为准。</w:t>
      </w:r>
    </w:p>
    <w:p w14:paraId="05AC9CC3">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当飞行机组在起飞前、在飞行过程中或者在其他任何时候，发现导航数据库中存在任何影响或危及飞行安全的问题，应记录相关问题并及时向导航数据库管理机构报告。航空运营人应建立相关程序，确保其导航数据库管理机构及时接收并处理机组报告。</w:t>
      </w:r>
    </w:p>
    <w:p w14:paraId="53A93C39">
      <w:pPr>
        <w:tabs>
          <w:tab w:val="left" w:pos="8580"/>
        </w:tabs>
        <w:spacing w:line="360" w:lineRule="auto"/>
        <w:ind w:left="0" w:right="440" w:rightChars="200" w:firstLine="68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pacing w:val="10"/>
          <w:sz w:val="32"/>
          <w:szCs w:val="32"/>
        </w:rPr>
        <w:t>导航数据库管理机构应建立飞行机组反馈及相关处理过程的记录</w:t>
      </w:r>
      <w:r>
        <w:rPr>
          <w:rFonts w:hint="eastAsia" w:ascii="仿宋_GB2312" w:hAnsi="仿宋_GB2312" w:eastAsia="仿宋_GB2312" w:cs="仿宋_GB2312"/>
          <w:bCs/>
          <w:color w:val="auto"/>
          <w:spacing w:val="-2"/>
          <w:sz w:val="32"/>
          <w:szCs w:val="32"/>
        </w:rPr>
        <w:t>。</w:t>
      </w:r>
    </w:p>
    <w:p w14:paraId="0E26F370">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rPr>
      </w:pPr>
      <w:bookmarkStart w:id="157" w:name="_Toc31501"/>
      <w:bookmarkStart w:id="158" w:name="_Toc24466"/>
      <w:bookmarkStart w:id="159" w:name="_Toc22853"/>
      <w:bookmarkStart w:id="160" w:name="_Toc31004"/>
      <w:bookmarkStart w:id="161" w:name="_Toc5611"/>
      <w:bookmarkStart w:id="162" w:name="_Toc11642"/>
      <w:r>
        <w:rPr>
          <w:rFonts w:hint="eastAsia" w:ascii="仿宋_GB2312" w:hAnsi="仿宋_GB2312" w:eastAsia="仿宋_GB2312" w:cs="仿宋_GB2312"/>
          <w:b/>
          <w:bCs/>
          <w:color w:val="auto"/>
          <w:spacing w:val="0"/>
          <w:sz w:val="32"/>
          <w:szCs w:val="32"/>
          <w:lang w:val="en-US" w:eastAsia="zh-CN"/>
        </w:rPr>
        <w:t>7</w:t>
      </w:r>
      <w:r>
        <w:rPr>
          <w:rFonts w:hint="eastAsia" w:ascii="仿宋_GB2312" w:hAnsi="仿宋_GB2312" w:eastAsia="仿宋_GB2312" w:cs="仿宋_GB2312"/>
          <w:b/>
          <w:bCs/>
          <w:color w:val="auto"/>
          <w:spacing w:val="0"/>
          <w:sz w:val="32"/>
          <w:szCs w:val="32"/>
        </w:rPr>
        <w:t>.1.6 导航数据库监控和报告</w:t>
      </w:r>
      <w:bookmarkEnd w:id="157"/>
      <w:bookmarkEnd w:id="158"/>
      <w:bookmarkEnd w:id="159"/>
      <w:bookmarkEnd w:id="160"/>
      <w:bookmarkEnd w:id="161"/>
      <w:bookmarkEnd w:id="162"/>
    </w:p>
    <w:p w14:paraId="3B5233C7">
      <w:pPr>
        <w:pStyle w:val="6"/>
        <w:tabs>
          <w:tab w:val="left" w:pos="8580"/>
        </w:tabs>
        <w:spacing w:line="360" w:lineRule="auto"/>
        <w:ind w:left="0" w:right="440" w:rightChars="200" w:firstLine="624" w:firstLineChars="195"/>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导航数据库管理机构应监控影响导航数据库运行使用的各类相关信息，分析其影响或潜在风险，并通过相应机制通知受影响的各相关方。</w:t>
      </w:r>
    </w:p>
    <w:p w14:paraId="2EC0371F">
      <w:pPr>
        <w:pStyle w:val="6"/>
        <w:tabs>
          <w:tab w:val="left" w:pos="8580"/>
        </w:tabs>
        <w:spacing w:line="360" w:lineRule="auto"/>
        <w:ind w:left="0" w:right="440" w:rightChars="200" w:firstLine="624" w:firstLineChars="195"/>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导航数据库管理机构应建立机制，监控官方发布的航空情报资料、航行通告及其他相关信息。当机场、航路、导航台、航路点、飞行程序等导航数据发生变更时，应分析官方数据变更对本公司导航数据库运行使用的影响（同时考虑官方数据变更对标准数据和客户化数据的影响）。若不影响当前周期导航数据库，则按需将官方数据的变更影响纳入未来周期导航数据库的制作需求；若影响当前周期导航数据库，须发布告警信息或公司通告等，提示飞行机组相关运行风险及应对措施。</w:t>
      </w:r>
    </w:p>
    <w:p w14:paraId="57C2991F">
      <w:pPr>
        <w:pStyle w:val="6"/>
        <w:tabs>
          <w:tab w:val="left" w:pos="8580"/>
        </w:tabs>
        <w:spacing w:line="360" w:lineRule="auto"/>
        <w:ind w:left="0" w:right="440" w:rightChars="200" w:firstLine="624" w:firstLineChars="195"/>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导航数据库管理机构应建立机制，监控数据供应商发布的发布声明、通知和告警等信息。分析后如发现相关信息影响本公司导航数据库的运行使用，须发布告警信息或公司通告等，提示飞行机组相关运行风险及对应措施。</w:t>
      </w:r>
    </w:p>
    <w:p w14:paraId="21B0F8E8">
      <w:pPr>
        <w:pStyle w:val="6"/>
        <w:tabs>
          <w:tab w:val="left" w:pos="8580"/>
        </w:tabs>
        <w:spacing w:line="360" w:lineRule="auto"/>
        <w:ind w:left="0" w:right="440" w:rightChars="200" w:firstLine="624" w:firstLineChars="195"/>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导航数据库管理机构应建立机制，及时收集、整理飞行机组在飞行运行中反馈的导航数据库相关问题，并及时与数据供应商、官方数据源以及公司相关部门沟通，分析相关问题对飞行运行带来的潜在影响，必要时须及时向所有可能</w:t>
      </w:r>
      <w:r>
        <w:rPr>
          <w:rFonts w:hint="eastAsia" w:ascii="仿宋_GB2312" w:hAnsi="仿宋_GB2312" w:eastAsia="仿宋_GB2312" w:cs="仿宋_GB2312"/>
          <w:b w:val="0"/>
          <w:color w:val="auto"/>
          <w:sz w:val="32"/>
          <w:szCs w:val="32"/>
          <w:lang w:eastAsia="zh-CN"/>
        </w:rPr>
        <w:t>受到</w:t>
      </w:r>
      <w:r>
        <w:rPr>
          <w:rFonts w:hint="eastAsia" w:ascii="仿宋_GB2312" w:hAnsi="仿宋_GB2312" w:eastAsia="仿宋_GB2312" w:cs="仿宋_GB2312"/>
          <w:b w:val="0"/>
          <w:color w:val="auto"/>
          <w:sz w:val="32"/>
          <w:szCs w:val="32"/>
        </w:rPr>
        <w:t>影响的飞行机组发布告警信息或公司通告等，提示相关运行风险及对应措施。</w:t>
      </w:r>
    </w:p>
    <w:p w14:paraId="5CBEE802">
      <w:pPr>
        <w:pStyle w:val="6"/>
        <w:tabs>
          <w:tab w:val="left" w:pos="8580"/>
        </w:tabs>
        <w:spacing w:line="360" w:lineRule="auto"/>
        <w:ind w:left="0" w:right="440" w:rightChars="200" w:firstLine="624" w:firstLineChars="195"/>
        <w:jc w:val="both"/>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color w:val="auto"/>
          <w:sz w:val="32"/>
          <w:szCs w:val="32"/>
        </w:rPr>
        <w:t>如监控到因某些原因（如官方资料未能按时生效）导致新一期导航数据库在周期生效时无法使用，导航数据库管理机构须立即向飞行机组及相关部门通报，并对使用过期导航数据库的期限及相关要求加以说明。</w:t>
      </w:r>
    </w:p>
    <w:p w14:paraId="2DAFCAF9">
      <w:pPr>
        <w:pStyle w:val="6"/>
        <w:tabs>
          <w:tab w:val="left" w:pos="8580"/>
        </w:tabs>
        <w:spacing w:line="360" w:lineRule="auto"/>
        <w:ind w:left="0" w:right="440" w:rightChars="200" w:firstLine="624" w:firstLineChars="195"/>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导航数据库管理机构应建立监控和报告相关工作的记录。</w:t>
      </w:r>
    </w:p>
    <w:p w14:paraId="6F154ED1">
      <w:pPr>
        <w:pStyle w:val="4"/>
        <w:tabs>
          <w:tab w:val="left" w:pos="8580"/>
        </w:tabs>
        <w:autoSpaceDE/>
        <w:autoSpaceDN/>
        <w:spacing w:before="0" w:beforeLines="50" w:beforeAutospacing="0" w:after="0" w:afterLines="50" w:afterAutospacing="0" w:line="240" w:lineRule="auto"/>
        <w:ind w:right="440" w:rightChars="200"/>
        <w:rPr>
          <w:rFonts w:hint="eastAsia" w:ascii="仿宋_GB2312" w:hAnsi="仿宋_GB2312" w:eastAsia="仿宋_GB2312" w:cs="仿宋_GB2312"/>
          <w:b/>
          <w:bCs/>
          <w:color w:val="auto"/>
          <w:spacing w:val="0"/>
          <w:sz w:val="32"/>
          <w:szCs w:val="32"/>
        </w:rPr>
      </w:pPr>
      <w:bookmarkStart w:id="163" w:name="_Toc293"/>
      <w:bookmarkStart w:id="164" w:name="_Toc10107"/>
      <w:bookmarkStart w:id="165" w:name="_Toc26278"/>
      <w:bookmarkStart w:id="166" w:name="_Toc25792"/>
      <w:bookmarkStart w:id="167" w:name="_Toc16602"/>
      <w:bookmarkStart w:id="168" w:name="_Toc5897"/>
      <w:r>
        <w:rPr>
          <w:rFonts w:hint="eastAsia" w:ascii="仿宋_GB2312" w:hAnsi="仿宋_GB2312" w:eastAsia="仿宋_GB2312" w:cs="仿宋_GB2312"/>
          <w:b/>
          <w:bCs/>
          <w:color w:val="auto"/>
          <w:spacing w:val="0"/>
          <w:sz w:val="32"/>
          <w:szCs w:val="32"/>
          <w:lang w:val="en-US" w:eastAsia="zh-CN"/>
        </w:rPr>
        <w:t>7</w:t>
      </w:r>
      <w:r>
        <w:rPr>
          <w:rFonts w:hint="eastAsia" w:ascii="仿宋_GB2312" w:hAnsi="仿宋_GB2312" w:eastAsia="仿宋_GB2312" w:cs="仿宋_GB2312"/>
          <w:b/>
          <w:bCs/>
          <w:color w:val="auto"/>
          <w:spacing w:val="0"/>
          <w:sz w:val="32"/>
          <w:szCs w:val="32"/>
        </w:rPr>
        <w:t>.1.7 记录要求</w:t>
      </w:r>
      <w:bookmarkEnd w:id="163"/>
      <w:bookmarkEnd w:id="164"/>
      <w:bookmarkEnd w:id="165"/>
      <w:bookmarkEnd w:id="166"/>
      <w:bookmarkEnd w:id="167"/>
      <w:bookmarkEnd w:id="168"/>
    </w:p>
    <w:p w14:paraId="63E86C03">
      <w:pPr>
        <w:pStyle w:val="6"/>
        <w:tabs>
          <w:tab w:val="left" w:pos="8580"/>
        </w:tabs>
        <w:spacing w:line="360" w:lineRule="auto"/>
        <w:ind w:left="0" w:right="440" w:rightChars="200" w:firstLine="561"/>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一般工作流程中各环节所涉及的工作记录须保存至少1年。</w:t>
      </w:r>
    </w:p>
    <w:p w14:paraId="16ED7023">
      <w:pPr>
        <w:pStyle w:val="3"/>
        <w:tabs>
          <w:tab w:val="left" w:pos="8580"/>
        </w:tabs>
        <w:spacing w:before="100" w:beforeAutospacing="1" w:after="100" w:afterAutospacing="1" w:line="240" w:lineRule="auto"/>
        <w:ind w:right="440" w:rightChars="200"/>
        <w:rPr>
          <w:rFonts w:hint="eastAsia" w:ascii="黑体" w:hAnsi="黑体" w:eastAsia="黑体" w:cs="黑体"/>
          <w:b w:val="0"/>
          <w:bCs w:val="0"/>
          <w:color w:val="auto"/>
          <w:spacing w:val="0"/>
          <w:sz w:val="32"/>
          <w:szCs w:val="32"/>
        </w:rPr>
      </w:pPr>
      <w:bookmarkStart w:id="169" w:name="_Toc8198"/>
      <w:bookmarkStart w:id="170" w:name="_Toc26541"/>
      <w:bookmarkStart w:id="171" w:name="_Toc25307"/>
      <w:bookmarkStart w:id="172" w:name="_Toc12416"/>
      <w:bookmarkStart w:id="173" w:name="_Toc29620"/>
      <w:bookmarkStart w:id="174" w:name="_Toc12054"/>
      <w:r>
        <w:rPr>
          <w:rFonts w:hint="eastAsia" w:ascii="黑体" w:hAnsi="黑体" w:eastAsia="黑体" w:cs="黑体"/>
          <w:b w:val="0"/>
          <w:bCs w:val="0"/>
          <w:color w:val="auto"/>
          <w:spacing w:val="0"/>
          <w:sz w:val="32"/>
          <w:szCs w:val="32"/>
          <w:lang w:val="en-US" w:eastAsia="zh-CN"/>
        </w:rPr>
        <w:t>7</w:t>
      </w:r>
      <w:r>
        <w:rPr>
          <w:rFonts w:hint="eastAsia" w:ascii="黑体" w:hAnsi="黑体" w:eastAsia="黑体" w:cs="黑体"/>
          <w:b w:val="0"/>
          <w:bCs w:val="0"/>
          <w:color w:val="auto"/>
          <w:spacing w:val="0"/>
          <w:sz w:val="32"/>
          <w:szCs w:val="32"/>
        </w:rPr>
        <w:t>.2 特殊工作流程—飞行程序验证导航数据库管理</w:t>
      </w:r>
      <w:bookmarkEnd w:id="169"/>
      <w:bookmarkEnd w:id="170"/>
      <w:bookmarkEnd w:id="171"/>
      <w:bookmarkEnd w:id="172"/>
      <w:bookmarkEnd w:id="173"/>
      <w:bookmarkEnd w:id="174"/>
    </w:p>
    <w:p w14:paraId="0A0F171D">
      <w:pPr>
        <w:tabs>
          <w:tab w:val="left" w:pos="8580"/>
        </w:tabs>
        <w:spacing w:line="360" w:lineRule="auto"/>
        <w:ind w:right="440" w:rightChars="200" w:firstLine="640" w:firstLineChars="200"/>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依据《民用运输机场仪表飞行程序验证实施办法》</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AC-97-FS-002R1</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机场完成新设计或修订飞行程序后，在获得局方正式批复之前，通常需要对飞行程序进行验证（模拟机验证和/或实地验证试飞），航空运营人可能受机场委托具体实施此类飞行程序验证任务，其中包含导航数据库的相关保障工作。</w:t>
      </w:r>
    </w:p>
    <w:p w14:paraId="4A3CAB7B">
      <w:pPr>
        <w:tabs>
          <w:tab w:val="left" w:pos="8580"/>
        </w:tabs>
        <w:spacing w:line="360" w:lineRule="auto"/>
        <w:ind w:right="440" w:rightChars="200" w:firstLine="570"/>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飞行程序验证导航数据库工作流程主要包括导航数据库编码资料获取、数据供应商选择、导航数据库完好性验证、导航数据库修改等流程。</w:t>
      </w:r>
    </w:p>
    <w:p w14:paraId="029BE01A">
      <w:pPr>
        <w:pStyle w:val="4"/>
        <w:tabs>
          <w:tab w:val="left" w:pos="8580"/>
        </w:tabs>
        <w:autoSpaceDE/>
        <w:autoSpaceDN/>
        <w:spacing w:before="0" w:beforeLines="50" w:after="0" w:afterLines="50" w:line="240" w:lineRule="auto"/>
        <w:ind w:left="0" w:right="440" w:rightChars="200" w:firstLineChars="0"/>
        <w:jc w:val="left"/>
        <w:rPr>
          <w:rFonts w:hint="eastAsia" w:ascii="仿宋_GB2312" w:hAnsi="仿宋_GB2312" w:eastAsia="仿宋_GB2312" w:cs="仿宋_GB2312"/>
          <w:b/>
          <w:color w:val="auto"/>
          <w:sz w:val="32"/>
          <w:szCs w:val="32"/>
        </w:rPr>
      </w:pPr>
      <w:bookmarkStart w:id="175" w:name="_Toc29400"/>
      <w:bookmarkStart w:id="176" w:name="_Toc4885"/>
      <w:r>
        <w:rPr>
          <w:rFonts w:hint="eastAsia" w:ascii="仿宋_GB2312" w:hAnsi="仿宋_GB2312" w:eastAsia="仿宋_GB2312" w:cs="仿宋_GB2312"/>
          <w:b/>
          <w:color w:val="auto"/>
          <w:sz w:val="32"/>
          <w:szCs w:val="32"/>
          <w:lang w:eastAsia="zh-CN"/>
        </w:rPr>
        <w:t>7</w:t>
      </w:r>
      <w:r>
        <w:rPr>
          <w:rFonts w:hint="eastAsia" w:ascii="仿宋_GB2312" w:hAnsi="仿宋_GB2312" w:eastAsia="仿宋_GB2312" w:cs="仿宋_GB2312"/>
          <w:b/>
          <w:color w:val="auto"/>
          <w:sz w:val="32"/>
          <w:szCs w:val="32"/>
          <w:lang w:val="en-US" w:eastAsia="zh-CN"/>
        </w:rPr>
        <w:t xml:space="preserve">.2.1 </w:t>
      </w:r>
      <w:r>
        <w:rPr>
          <w:rFonts w:hint="eastAsia" w:ascii="仿宋_GB2312" w:hAnsi="仿宋_GB2312" w:eastAsia="仿宋_GB2312" w:cs="仿宋_GB2312"/>
          <w:b/>
          <w:color w:val="auto"/>
          <w:sz w:val="32"/>
          <w:szCs w:val="32"/>
        </w:rPr>
        <w:t>导航数据库编码资料获取</w:t>
      </w:r>
      <w:bookmarkEnd w:id="175"/>
      <w:bookmarkEnd w:id="176"/>
    </w:p>
    <w:p w14:paraId="17CD1AF6">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承担验证任务的航空运营人导航数据库管理机构应向机场获取飞行程序正式设计预先批准（飞行程序航图及数据库编码表），供数据供应商处理和制作导航数据库使用。</w:t>
      </w:r>
    </w:p>
    <w:p w14:paraId="014C8CBC">
      <w:pPr>
        <w:pStyle w:val="4"/>
        <w:tabs>
          <w:tab w:val="left" w:pos="8580"/>
        </w:tabs>
        <w:autoSpaceDE/>
        <w:autoSpaceDN/>
        <w:spacing w:before="0" w:beforeLines="50" w:after="0" w:afterLines="50" w:line="240" w:lineRule="auto"/>
        <w:ind w:left="0" w:right="440" w:rightChars="200" w:firstLineChars="0"/>
        <w:jc w:val="left"/>
        <w:rPr>
          <w:rFonts w:hint="eastAsia" w:ascii="仿宋_GB2312" w:hAnsi="仿宋_GB2312" w:eastAsia="仿宋_GB2312" w:cs="仿宋_GB2312"/>
          <w:b/>
          <w:color w:val="auto"/>
          <w:sz w:val="32"/>
          <w:szCs w:val="32"/>
        </w:rPr>
      </w:pPr>
      <w:bookmarkStart w:id="177" w:name="_Toc434"/>
      <w:bookmarkStart w:id="178" w:name="_Toc27698"/>
      <w:r>
        <w:rPr>
          <w:rFonts w:hint="eastAsia" w:ascii="仿宋_GB2312" w:hAnsi="仿宋_GB2312" w:eastAsia="仿宋_GB2312" w:cs="仿宋_GB2312"/>
          <w:b/>
          <w:color w:val="auto"/>
          <w:sz w:val="32"/>
          <w:szCs w:val="32"/>
          <w:lang w:eastAsia="zh-CN"/>
        </w:rPr>
        <w:t>7</w:t>
      </w:r>
      <w:r>
        <w:rPr>
          <w:rFonts w:hint="eastAsia" w:ascii="仿宋_GB2312" w:hAnsi="仿宋_GB2312" w:eastAsia="仿宋_GB2312" w:cs="仿宋_GB2312"/>
          <w:b/>
          <w:color w:val="auto"/>
          <w:sz w:val="32"/>
          <w:szCs w:val="32"/>
          <w:lang w:val="en-US" w:eastAsia="zh-CN"/>
        </w:rPr>
        <w:t xml:space="preserve">.2.2 </w:t>
      </w:r>
      <w:r>
        <w:rPr>
          <w:rFonts w:hint="eastAsia" w:ascii="仿宋_GB2312" w:hAnsi="仿宋_GB2312" w:eastAsia="仿宋_GB2312" w:cs="仿宋_GB2312"/>
          <w:b/>
          <w:color w:val="auto"/>
          <w:sz w:val="32"/>
          <w:szCs w:val="32"/>
        </w:rPr>
        <w:t>数据供应商选择</w:t>
      </w:r>
      <w:bookmarkEnd w:id="177"/>
      <w:bookmarkEnd w:id="178"/>
    </w:p>
    <w:p w14:paraId="5EEE88C2">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承担验证任务的航空运营人应根据机场提供的运行要求及飞行程序设计要求，与机场商定验证机型，确定适配的机载导航数据库，选择相应的数据供应商完成验证导航数据库制作。</w:t>
      </w:r>
    </w:p>
    <w:p w14:paraId="5B1B4404">
      <w:pPr>
        <w:pStyle w:val="4"/>
        <w:tabs>
          <w:tab w:val="left" w:pos="8580"/>
        </w:tabs>
        <w:autoSpaceDE/>
        <w:autoSpaceDN/>
        <w:spacing w:before="0" w:beforeLines="50" w:after="0" w:afterLines="50" w:line="240" w:lineRule="auto"/>
        <w:ind w:left="0" w:right="440" w:rightChars="200" w:firstLineChars="0"/>
        <w:jc w:val="left"/>
        <w:rPr>
          <w:rFonts w:hint="eastAsia" w:ascii="仿宋_GB2312" w:hAnsi="仿宋_GB2312" w:eastAsia="仿宋_GB2312" w:cs="仿宋_GB2312"/>
          <w:b/>
          <w:color w:val="auto"/>
          <w:sz w:val="32"/>
          <w:szCs w:val="32"/>
        </w:rPr>
      </w:pPr>
      <w:bookmarkStart w:id="179" w:name="_Toc24065"/>
      <w:bookmarkStart w:id="180" w:name="_Toc3357"/>
      <w:r>
        <w:rPr>
          <w:rFonts w:hint="eastAsia" w:ascii="仿宋_GB2312" w:hAnsi="仿宋_GB2312" w:eastAsia="仿宋_GB2312" w:cs="仿宋_GB2312"/>
          <w:b/>
          <w:color w:val="auto"/>
          <w:sz w:val="32"/>
          <w:szCs w:val="32"/>
          <w:lang w:eastAsia="zh-CN"/>
        </w:rPr>
        <w:t>7</w:t>
      </w:r>
      <w:r>
        <w:rPr>
          <w:rFonts w:hint="eastAsia" w:ascii="仿宋_GB2312" w:hAnsi="仿宋_GB2312" w:eastAsia="仿宋_GB2312" w:cs="仿宋_GB2312"/>
          <w:b/>
          <w:color w:val="auto"/>
          <w:sz w:val="32"/>
          <w:szCs w:val="32"/>
          <w:lang w:val="en-US" w:eastAsia="zh-CN"/>
        </w:rPr>
        <w:t xml:space="preserve">.2.3 </w:t>
      </w:r>
      <w:r>
        <w:rPr>
          <w:rFonts w:hint="eastAsia" w:ascii="仿宋_GB2312" w:hAnsi="仿宋_GB2312" w:eastAsia="仿宋_GB2312" w:cs="仿宋_GB2312"/>
          <w:b/>
          <w:color w:val="auto"/>
          <w:sz w:val="32"/>
          <w:szCs w:val="32"/>
        </w:rPr>
        <w:t>验证前导航数据库检查</w:t>
      </w:r>
      <w:bookmarkEnd w:id="179"/>
      <w:bookmarkEnd w:id="180"/>
    </w:p>
    <w:p w14:paraId="71CF5B4C">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航空运营人（或受委托的第三方）应检查计划用于验证任务的导航数据库内容，确认导航数据与航图、编码表（PBN要求）的一致性。检查内容一般包括：</w:t>
      </w:r>
    </w:p>
    <w:p w14:paraId="63D95221">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1</w:t>
      </w:r>
      <w:r>
        <w:rPr>
          <w:rFonts w:hint="eastAsia" w:ascii="仿宋_GB2312" w:hAnsi="仿宋_GB2312" w:eastAsia="仿宋_GB2312" w:cs="仿宋_GB2312"/>
          <w:b w:val="0"/>
          <w:color w:val="auto"/>
          <w:sz w:val="32"/>
          <w:szCs w:val="32"/>
        </w:rPr>
        <w:t>）机场基准点；</w:t>
      </w:r>
    </w:p>
    <w:p w14:paraId="0124554D">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val="en-US" w:eastAsia="zh-CN"/>
        </w:rPr>
        <w:t>2</w:t>
      </w:r>
      <w:r>
        <w:rPr>
          <w:rFonts w:hint="eastAsia" w:ascii="仿宋_GB2312" w:hAnsi="仿宋_GB2312" w:eastAsia="仿宋_GB2312" w:cs="仿宋_GB2312"/>
          <w:b w:val="0"/>
          <w:color w:val="auto"/>
          <w:sz w:val="32"/>
          <w:szCs w:val="32"/>
        </w:rPr>
        <w:t>）机场标高、磁差；</w:t>
      </w:r>
    </w:p>
    <w:p w14:paraId="13D2DCAE">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3</w:t>
      </w:r>
      <w:r>
        <w:rPr>
          <w:rFonts w:hint="eastAsia" w:ascii="仿宋_GB2312" w:hAnsi="仿宋_GB2312" w:eastAsia="仿宋_GB2312" w:cs="仿宋_GB2312"/>
          <w:b w:val="0"/>
          <w:color w:val="auto"/>
          <w:sz w:val="32"/>
          <w:szCs w:val="32"/>
        </w:rPr>
        <w:t>）跑道磁方位、长度；</w:t>
      </w:r>
    </w:p>
    <w:p w14:paraId="7DA5FEF1">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4</w:t>
      </w:r>
      <w:r>
        <w:rPr>
          <w:rFonts w:hint="eastAsia" w:ascii="仿宋_GB2312" w:hAnsi="仿宋_GB2312" w:eastAsia="仿宋_GB2312" w:cs="仿宋_GB2312"/>
          <w:b w:val="0"/>
          <w:color w:val="auto"/>
          <w:sz w:val="32"/>
          <w:szCs w:val="32"/>
        </w:rPr>
        <w:t>）跑道入口标高、坐标（PBN进近程序要求）；</w:t>
      </w:r>
    </w:p>
    <w:p w14:paraId="3EFB960A">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5</w:t>
      </w:r>
      <w:r>
        <w:rPr>
          <w:rFonts w:hint="eastAsia" w:ascii="仿宋_GB2312" w:hAnsi="仿宋_GB2312" w:eastAsia="仿宋_GB2312" w:cs="仿宋_GB2312"/>
          <w:b w:val="0"/>
          <w:color w:val="auto"/>
          <w:sz w:val="32"/>
          <w:szCs w:val="32"/>
        </w:rPr>
        <w:t>）导航台</w:t>
      </w:r>
      <w:r>
        <w:rPr>
          <w:rFonts w:hint="eastAsia" w:ascii="仿宋_GB2312" w:hAnsi="仿宋_GB2312" w:eastAsia="仿宋_GB2312" w:cs="仿宋_GB2312"/>
          <w:b w:val="0"/>
          <w:color w:val="auto"/>
          <w:sz w:val="32"/>
          <w:szCs w:val="32"/>
          <w:lang w:val="en-US" w:eastAsia="zh-CN"/>
        </w:rPr>
        <w:t>识别</w:t>
      </w:r>
      <w:r>
        <w:rPr>
          <w:rFonts w:hint="eastAsia" w:ascii="仿宋_GB2312" w:hAnsi="仿宋_GB2312" w:eastAsia="仿宋_GB2312" w:cs="仿宋_GB2312"/>
          <w:b w:val="0"/>
          <w:color w:val="auto"/>
          <w:sz w:val="32"/>
          <w:szCs w:val="32"/>
        </w:rPr>
        <w:t>、频率、坐标；</w:t>
      </w:r>
    </w:p>
    <w:p w14:paraId="121E27D1">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6</w:t>
      </w:r>
      <w:r>
        <w:rPr>
          <w:rFonts w:hint="eastAsia" w:ascii="仿宋_GB2312" w:hAnsi="仿宋_GB2312" w:eastAsia="仿宋_GB2312" w:cs="仿宋_GB2312"/>
          <w:b w:val="0"/>
          <w:color w:val="auto"/>
          <w:sz w:val="32"/>
          <w:szCs w:val="32"/>
        </w:rPr>
        <w:t>）航路点</w:t>
      </w:r>
      <w:r>
        <w:rPr>
          <w:rFonts w:hint="eastAsia" w:ascii="仿宋_GB2312" w:hAnsi="仿宋_GB2312" w:eastAsia="仿宋_GB2312" w:cs="仿宋_GB2312"/>
          <w:b w:val="0"/>
          <w:color w:val="auto"/>
          <w:sz w:val="32"/>
          <w:szCs w:val="32"/>
          <w:lang w:eastAsia="zh-CN"/>
        </w:rPr>
        <w:t>名称</w:t>
      </w:r>
      <w:r>
        <w:rPr>
          <w:rFonts w:hint="eastAsia" w:ascii="仿宋_GB2312" w:hAnsi="仿宋_GB2312" w:eastAsia="仿宋_GB2312" w:cs="仿宋_GB2312"/>
          <w:b w:val="0"/>
          <w:color w:val="auto"/>
          <w:sz w:val="32"/>
          <w:szCs w:val="32"/>
        </w:rPr>
        <w:t>、坐标；</w:t>
      </w:r>
    </w:p>
    <w:p w14:paraId="59096A77">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7</w:t>
      </w: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val="en-US" w:eastAsia="zh-CN"/>
        </w:rPr>
        <w:t>飞行</w:t>
      </w:r>
      <w:r>
        <w:rPr>
          <w:rFonts w:hint="eastAsia" w:ascii="仿宋_GB2312" w:hAnsi="仿宋_GB2312" w:eastAsia="仿宋_GB2312" w:cs="仿宋_GB2312"/>
          <w:b w:val="0"/>
          <w:color w:val="auto"/>
          <w:sz w:val="32"/>
          <w:szCs w:val="32"/>
        </w:rPr>
        <w:t>程序代号和导航数据</w:t>
      </w:r>
      <w:r>
        <w:rPr>
          <w:rFonts w:hint="eastAsia" w:ascii="仿宋_GB2312" w:hAnsi="仿宋_GB2312" w:eastAsia="仿宋_GB2312" w:cs="仿宋_GB2312"/>
          <w:b w:val="0"/>
          <w:color w:val="auto"/>
          <w:sz w:val="32"/>
          <w:szCs w:val="32"/>
          <w:lang w:val="en-US" w:eastAsia="zh-CN"/>
        </w:rPr>
        <w:t>库</w:t>
      </w:r>
      <w:r>
        <w:rPr>
          <w:rFonts w:hint="eastAsia" w:ascii="仿宋_GB2312" w:hAnsi="仿宋_GB2312" w:eastAsia="仿宋_GB2312" w:cs="仿宋_GB2312"/>
          <w:b w:val="0"/>
          <w:color w:val="auto"/>
          <w:sz w:val="32"/>
          <w:szCs w:val="32"/>
        </w:rPr>
        <w:t>代号；</w:t>
      </w:r>
    </w:p>
    <w:p w14:paraId="0A1393B4">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8</w:t>
      </w:r>
      <w:r>
        <w:rPr>
          <w:rFonts w:hint="eastAsia" w:ascii="仿宋_GB2312" w:hAnsi="仿宋_GB2312" w:eastAsia="仿宋_GB2312" w:cs="仿宋_GB2312"/>
          <w:b w:val="0"/>
          <w:color w:val="auto"/>
          <w:sz w:val="32"/>
          <w:szCs w:val="32"/>
        </w:rPr>
        <w:t>）飞行程序航迹走向；</w:t>
      </w:r>
    </w:p>
    <w:p w14:paraId="188ABD43">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9</w:t>
      </w:r>
      <w:r>
        <w:rPr>
          <w:rFonts w:hint="eastAsia" w:ascii="仿宋_GB2312" w:hAnsi="仿宋_GB2312" w:eastAsia="仿宋_GB2312" w:cs="仿宋_GB2312"/>
          <w:b w:val="0"/>
          <w:color w:val="auto"/>
          <w:sz w:val="32"/>
          <w:szCs w:val="32"/>
        </w:rPr>
        <w:t>）航径终止码（PBN程序要求）；</w:t>
      </w:r>
    </w:p>
    <w:p w14:paraId="17A57DE3">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1</w:t>
      </w:r>
      <w:r>
        <w:rPr>
          <w:rFonts w:hint="eastAsia" w:ascii="仿宋_GB2312" w:hAnsi="仿宋_GB2312" w:eastAsia="仿宋_GB2312" w:cs="仿宋_GB2312"/>
          <w:b w:val="0"/>
          <w:color w:val="auto"/>
          <w:sz w:val="32"/>
          <w:szCs w:val="32"/>
          <w:lang w:val="en-US" w:eastAsia="zh-CN"/>
        </w:rPr>
        <w:t>0</w:t>
      </w:r>
      <w:r>
        <w:rPr>
          <w:rFonts w:hint="eastAsia" w:ascii="仿宋_GB2312" w:hAnsi="仿宋_GB2312" w:eastAsia="仿宋_GB2312" w:cs="仿宋_GB2312"/>
          <w:b w:val="0"/>
          <w:color w:val="auto"/>
          <w:sz w:val="32"/>
          <w:szCs w:val="32"/>
        </w:rPr>
        <w:t>）航段角度、距离；</w:t>
      </w:r>
    </w:p>
    <w:p w14:paraId="34EF4A50">
      <w:pPr>
        <w:pStyle w:val="6"/>
        <w:tabs>
          <w:tab w:val="left" w:pos="8580"/>
        </w:tabs>
        <w:spacing w:line="360" w:lineRule="auto"/>
        <w:ind w:left="0" w:right="440" w:rightChars="200" w:firstLine="640" w:firstLineChars="200"/>
        <w:jc w:val="both"/>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1</w:t>
      </w:r>
      <w:r>
        <w:rPr>
          <w:rFonts w:hint="eastAsia" w:ascii="仿宋_GB2312" w:hAnsi="仿宋_GB2312" w:eastAsia="仿宋_GB2312" w:cs="仿宋_GB2312"/>
          <w:b w:val="0"/>
          <w:color w:val="auto"/>
          <w:sz w:val="32"/>
          <w:szCs w:val="32"/>
          <w:lang w:val="en-US" w:eastAsia="zh-CN"/>
        </w:rPr>
        <w:t>1</w:t>
      </w:r>
      <w:r>
        <w:rPr>
          <w:rFonts w:hint="eastAsia" w:ascii="仿宋_GB2312" w:hAnsi="仿宋_GB2312" w:eastAsia="仿宋_GB2312" w:cs="仿宋_GB2312"/>
          <w:b w:val="0"/>
          <w:color w:val="auto"/>
          <w:sz w:val="32"/>
          <w:szCs w:val="32"/>
        </w:rPr>
        <w:t>）高度限制、速度限制、下滑角等。</w:t>
      </w:r>
    </w:p>
    <w:p w14:paraId="2A468B46">
      <w:pPr>
        <w:pStyle w:val="4"/>
        <w:tabs>
          <w:tab w:val="left" w:pos="8580"/>
        </w:tabs>
        <w:autoSpaceDE/>
        <w:autoSpaceDN/>
        <w:spacing w:before="0" w:beforeLines="50" w:after="0" w:afterLines="50" w:line="240" w:lineRule="auto"/>
        <w:ind w:left="0" w:right="440" w:rightChars="200" w:firstLineChars="0"/>
        <w:jc w:val="left"/>
        <w:rPr>
          <w:rFonts w:hint="eastAsia" w:ascii="仿宋_GB2312" w:hAnsi="仿宋_GB2312" w:eastAsia="仿宋_GB2312" w:cs="仿宋_GB2312"/>
          <w:b/>
          <w:color w:val="auto"/>
          <w:spacing w:val="0"/>
          <w:sz w:val="32"/>
          <w:szCs w:val="32"/>
        </w:rPr>
      </w:pPr>
      <w:bookmarkStart w:id="181" w:name="_Toc9633"/>
      <w:bookmarkStart w:id="182" w:name="_Toc11216"/>
      <w:r>
        <w:rPr>
          <w:rFonts w:hint="eastAsia" w:ascii="仿宋_GB2312" w:hAnsi="仿宋_GB2312" w:eastAsia="仿宋_GB2312" w:cs="仿宋_GB2312"/>
          <w:b/>
          <w:color w:val="auto"/>
          <w:spacing w:val="0"/>
          <w:sz w:val="32"/>
          <w:szCs w:val="32"/>
          <w:lang w:eastAsia="zh-CN"/>
        </w:rPr>
        <w:t>7</w:t>
      </w:r>
      <w:r>
        <w:rPr>
          <w:rFonts w:hint="eastAsia" w:ascii="仿宋_GB2312" w:hAnsi="仿宋_GB2312" w:eastAsia="仿宋_GB2312" w:cs="仿宋_GB2312"/>
          <w:b/>
          <w:color w:val="auto"/>
          <w:spacing w:val="0"/>
          <w:sz w:val="32"/>
          <w:szCs w:val="32"/>
          <w:lang w:val="en-US" w:eastAsia="zh-CN"/>
        </w:rPr>
        <w:t xml:space="preserve">.2.4 </w:t>
      </w:r>
      <w:r>
        <w:rPr>
          <w:rFonts w:hint="eastAsia" w:ascii="仿宋_GB2312" w:hAnsi="仿宋_GB2312" w:eastAsia="仿宋_GB2312" w:cs="仿宋_GB2312"/>
          <w:b/>
          <w:color w:val="auto"/>
          <w:spacing w:val="0"/>
          <w:sz w:val="32"/>
          <w:szCs w:val="32"/>
        </w:rPr>
        <w:t>导航数据库修改</w:t>
      </w:r>
      <w:bookmarkEnd w:id="181"/>
      <w:bookmarkEnd w:id="182"/>
    </w:p>
    <w:p w14:paraId="16CBFC78">
      <w:pPr>
        <w:pStyle w:val="6"/>
        <w:tabs>
          <w:tab w:val="left" w:pos="8580"/>
        </w:tabs>
        <w:spacing w:line="360" w:lineRule="auto"/>
        <w:ind w:left="0" w:right="440" w:rightChars="200" w:firstLine="616" w:firstLineChars="200"/>
        <w:jc w:val="both"/>
        <w:rPr>
          <w:rFonts w:hint="eastAsia" w:ascii="仿宋_GB2312" w:hAnsi="仿宋_GB2312" w:eastAsia="仿宋_GB2312" w:cs="仿宋_GB2312"/>
          <w:b w:val="0"/>
          <w:color w:val="auto"/>
          <w:spacing w:val="-6"/>
          <w:sz w:val="32"/>
          <w:szCs w:val="32"/>
        </w:rPr>
      </w:pPr>
      <w:r>
        <w:rPr>
          <w:rFonts w:hint="eastAsia" w:ascii="仿宋_GB2312" w:hAnsi="仿宋_GB2312" w:eastAsia="仿宋_GB2312" w:cs="仿宋_GB2312"/>
          <w:b w:val="0"/>
          <w:color w:val="auto"/>
          <w:spacing w:val="-6"/>
          <w:sz w:val="32"/>
          <w:szCs w:val="32"/>
        </w:rPr>
        <w:t>计划用于验证的导航数据库经过检查后，如果发现数据严重不符，承担验证任务的航空运营人须立即告知局方、机场、飞行程序设计单位等相关部门和数据供应商，追踪修改情况直至获得符合要求的导航数据库后，才能继续实施验证。</w:t>
      </w:r>
    </w:p>
    <w:p w14:paraId="1CB41ADE">
      <w:pPr>
        <w:pStyle w:val="6"/>
        <w:tabs>
          <w:tab w:val="left" w:pos="8580"/>
        </w:tabs>
        <w:spacing w:line="360" w:lineRule="auto"/>
        <w:ind w:left="0" w:right="440" w:rightChars="200" w:firstLine="616" w:firstLineChars="200"/>
        <w:jc w:val="both"/>
        <w:rPr>
          <w:rFonts w:hint="eastAsia" w:ascii="仿宋_GB2312" w:hAnsi="仿宋_GB2312" w:eastAsia="仿宋_GB2312" w:cs="仿宋_GB2312"/>
          <w:b w:val="0"/>
          <w:color w:val="auto"/>
          <w:spacing w:val="-6"/>
          <w:sz w:val="32"/>
          <w:szCs w:val="32"/>
        </w:rPr>
      </w:pPr>
      <w:r>
        <w:rPr>
          <w:rFonts w:hint="eastAsia" w:ascii="仿宋_GB2312" w:hAnsi="仿宋_GB2312" w:eastAsia="仿宋_GB2312" w:cs="仿宋_GB2312"/>
          <w:b w:val="0"/>
          <w:color w:val="auto"/>
          <w:spacing w:val="-6"/>
          <w:sz w:val="32"/>
          <w:szCs w:val="32"/>
        </w:rPr>
        <w:t>仅</w:t>
      </w:r>
      <w:r>
        <w:rPr>
          <w:rFonts w:hint="eastAsia" w:ascii="仿宋_GB2312" w:hAnsi="仿宋_GB2312" w:eastAsia="仿宋_GB2312" w:cs="仿宋_GB2312"/>
          <w:b w:val="0"/>
          <w:color w:val="auto"/>
          <w:spacing w:val="-6"/>
          <w:sz w:val="32"/>
          <w:szCs w:val="32"/>
          <w:lang w:eastAsia="zh-CN"/>
        </w:rPr>
        <w:t>在</w:t>
      </w:r>
      <w:r>
        <w:rPr>
          <w:rFonts w:hint="eastAsia" w:ascii="仿宋_GB2312" w:hAnsi="仿宋_GB2312" w:eastAsia="仿宋_GB2312" w:cs="仿宋_GB2312"/>
          <w:b w:val="0"/>
          <w:color w:val="auto"/>
          <w:spacing w:val="-6"/>
          <w:sz w:val="32"/>
          <w:szCs w:val="32"/>
        </w:rPr>
        <w:t>特殊情况下，如果无法</w:t>
      </w:r>
      <w:r>
        <w:rPr>
          <w:rFonts w:hint="eastAsia" w:ascii="仿宋_GB2312" w:hAnsi="仿宋_GB2312" w:eastAsia="仿宋_GB2312" w:cs="仿宋_GB2312"/>
          <w:b w:val="0"/>
          <w:color w:val="auto"/>
          <w:spacing w:val="-6"/>
          <w:sz w:val="32"/>
          <w:szCs w:val="32"/>
          <w:lang w:val="en-US" w:eastAsia="zh-CN"/>
        </w:rPr>
        <w:t>通过</w:t>
      </w:r>
      <w:r>
        <w:rPr>
          <w:rFonts w:hint="eastAsia" w:ascii="仿宋_GB2312" w:hAnsi="仿宋_GB2312" w:eastAsia="仿宋_GB2312" w:cs="仿宋_GB2312"/>
          <w:b w:val="0"/>
          <w:color w:val="auto"/>
          <w:spacing w:val="-6"/>
          <w:sz w:val="32"/>
          <w:szCs w:val="32"/>
        </w:rPr>
        <w:t>正常方式制作或修改导航数据库，在采用必要安全措施并核对数据后，经地区管理局或其派出机构同意，</w:t>
      </w:r>
      <w:r>
        <w:rPr>
          <w:rFonts w:hint="eastAsia" w:ascii="仿宋_GB2312" w:hAnsi="仿宋_GB2312" w:eastAsia="仿宋_GB2312" w:cs="仿宋_GB2312"/>
          <w:b w:val="0"/>
          <w:color w:val="auto"/>
          <w:spacing w:val="-6"/>
          <w:sz w:val="32"/>
          <w:szCs w:val="32"/>
          <w:lang w:eastAsia="zh-CN"/>
        </w:rPr>
        <w:t>方可</w:t>
      </w:r>
      <w:r>
        <w:rPr>
          <w:rFonts w:hint="eastAsia" w:ascii="仿宋_GB2312" w:hAnsi="仿宋_GB2312" w:eastAsia="仿宋_GB2312" w:cs="仿宋_GB2312"/>
          <w:b w:val="0"/>
          <w:color w:val="auto"/>
          <w:spacing w:val="-6"/>
          <w:sz w:val="32"/>
          <w:szCs w:val="32"/>
        </w:rPr>
        <w:t>人工输入导航数据。实地验证试飞时，人工输入导航数据的验证仅限在目视飞行条件下执行。</w:t>
      </w:r>
    </w:p>
    <w:p w14:paraId="1F481956">
      <w:pPr>
        <w:pStyle w:val="6"/>
        <w:tabs>
          <w:tab w:val="left" w:pos="8580"/>
        </w:tabs>
        <w:spacing w:line="360" w:lineRule="auto"/>
        <w:ind w:left="0" w:right="440" w:rightChars="200" w:firstLine="632" w:firstLineChars="200"/>
        <w:jc w:val="both"/>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航空运营人受机场委托实施飞行程序验证时，</w:t>
      </w:r>
      <w:r>
        <w:rPr>
          <w:rFonts w:hint="eastAsia" w:ascii="仿宋_GB2312" w:hAnsi="仿宋_GB2312" w:eastAsia="仿宋_GB2312" w:cs="仿宋_GB2312"/>
          <w:b w:val="0"/>
          <w:color w:val="auto"/>
          <w:spacing w:val="-6"/>
          <w:sz w:val="32"/>
          <w:szCs w:val="32"/>
        </w:rPr>
        <w:t>应跟进验证导航数据库的使用和评估，进一步</w:t>
      </w:r>
      <w:r>
        <w:rPr>
          <w:rFonts w:hint="eastAsia" w:ascii="仿宋_GB2312" w:hAnsi="仿宋_GB2312" w:eastAsia="仿宋_GB2312" w:cs="仿宋_GB2312"/>
          <w:b w:val="0"/>
          <w:color w:val="auto"/>
          <w:spacing w:val="-2"/>
          <w:sz w:val="32"/>
          <w:szCs w:val="32"/>
        </w:rPr>
        <w:t>确认导航数据的准确性、与程序的一致性</w:t>
      </w:r>
      <w:r>
        <w:rPr>
          <w:rFonts w:hint="eastAsia" w:ascii="仿宋_GB2312" w:hAnsi="仿宋_GB2312" w:eastAsia="仿宋_GB2312" w:cs="仿宋_GB2312"/>
          <w:b w:val="0"/>
          <w:color w:val="auto"/>
          <w:spacing w:val="-6"/>
          <w:sz w:val="32"/>
          <w:szCs w:val="32"/>
        </w:rPr>
        <w:t>。</w:t>
      </w:r>
    </w:p>
    <w:p w14:paraId="2A3AB949">
      <w:pPr>
        <w:pStyle w:val="6"/>
        <w:tabs>
          <w:tab w:val="left" w:pos="8580"/>
        </w:tabs>
        <w:spacing w:line="360" w:lineRule="auto"/>
        <w:ind w:left="0" w:right="440" w:rightChars="200" w:firstLine="616" w:firstLineChars="200"/>
        <w:jc w:val="both"/>
        <w:rPr>
          <w:rFonts w:hint="eastAsia" w:ascii="仿宋_GB2312" w:hAnsi="仿宋_GB2312" w:eastAsia="仿宋_GB2312" w:cs="仿宋_GB2312"/>
          <w:b w:val="0"/>
          <w:color w:val="auto"/>
          <w:spacing w:val="-6"/>
          <w:sz w:val="32"/>
          <w:szCs w:val="32"/>
        </w:rPr>
      </w:pPr>
      <w:r>
        <w:rPr>
          <w:rFonts w:hint="eastAsia" w:ascii="仿宋_GB2312" w:hAnsi="仿宋_GB2312" w:eastAsia="仿宋_GB2312" w:cs="仿宋_GB2312"/>
          <w:b w:val="0"/>
          <w:color w:val="auto"/>
          <w:spacing w:val="-6"/>
          <w:sz w:val="32"/>
          <w:szCs w:val="32"/>
        </w:rPr>
        <w:t>航空运营人对飞行程序验证导航数据库可独立管理，也可与运行库合并，但须做好管理和提示，防止未经正式批准的导航数据投入实际飞行运行。</w:t>
      </w:r>
    </w:p>
    <w:p w14:paraId="230E7A04">
      <w:pPr>
        <w:pStyle w:val="2"/>
        <w:tabs>
          <w:tab w:val="left" w:pos="8580"/>
        </w:tabs>
        <w:spacing w:before="100" w:beforeAutospacing="1" w:after="100" w:afterAutospacing="1" w:line="240" w:lineRule="auto"/>
        <w:ind w:right="440" w:rightChars="200"/>
        <w:rPr>
          <w:rFonts w:hint="eastAsia" w:ascii="黑体" w:hAnsi="黑体" w:cs="黑体"/>
          <w:b w:val="0"/>
          <w:bCs w:val="0"/>
          <w:color w:val="auto"/>
          <w:sz w:val="32"/>
          <w:szCs w:val="32"/>
        </w:rPr>
      </w:pPr>
      <w:bookmarkStart w:id="183" w:name="_Toc31615"/>
      <w:bookmarkStart w:id="184" w:name="_Toc24033"/>
      <w:bookmarkStart w:id="185" w:name="_Toc18593"/>
      <w:bookmarkStart w:id="186" w:name="_Toc22649"/>
      <w:bookmarkStart w:id="187" w:name="_Toc9462"/>
      <w:bookmarkStart w:id="188" w:name="_Toc17334"/>
      <w:r>
        <w:rPr>
          <w:rFonts w:hint="eastAsia" w:ascii="黑体" w:hAnsi="黑体" w:cs="黑体"/>
          <w:b w:val="0"/>
          <w:bCs w:val="0"/>
          <w:color w:val="auto"/>
          <w:sz w:val="32"/>
          <w:szCs w:val="32"/>
          <w:lang w:val="en-US" w:eastAsia="zh-CN"/>
        </w:rPr>
        <w:t>8</w:t>
      </w:r>
      <w:r>
        <w:rPr>
          <w:rFonts w:hint="eastAsia" w:ascii="黑体" w:hAnsi="黑体" w:cs="黑体"/>
          <w:b w:val="0"/>
          <w:bCs w:val="0"/>
          <w:color w:val="auto"/>
          <w:sz w:val="32"/>
          <w:szCs w:val="32"/>
        </w:rPr>
        <w:t>.人员培训</w:t>
      </w:r>
      <w:bookmarkEnd w:id="183"/>
      <w:bookmarkEnd w:id="184"/>
      <w:bookmarkEnd w:id="185"/>
      <w:bookmarkEnd w:id="186"/>
      <w:bookmarkEnd w:id="187"/>
      <w:bookmarkEnd w:id="188"/>
    </w:p>
    <w:p w14:paraId="52A98782">
      <w:pPr>
        <w:tabs>
          <w:tab w:val="left" w:pos="8580"/>
        </w:tabs>
        <w:spacing w:line="360" w:lineRule="auto"/>
        <w:ind w:right="440" w:rightChars="200" w:firstLine="680" w:firstLineChars="200"/>
        <w:rPr>
          <w:rFonts w:hint="eastAsia" w:ascii="仿宋_GB2312" w:hAnsi="仿宋_GB2312" w:eastAsia="仿宋_GB2312" w:cs="仿宋_GB2312"/>
          <w:bCs/>
          <w:color w:val="auto"/>
          <w:spacing w:val="5"/>
          <w:sz w:val="32"/>
          <w:szCs w:val="32"/>
        </w:rPr>
      </w:pPr>
      <w:r>
        <w:rPr>
          <w:rFonts w:hint="eastAsia" w:ascii="仿宋_GB2312" w:hAnsi="仿宋_GB2312" w:eastAsia="仿宋_GB2312" w:cs="仿宋_GB2312"/>
          <w:bCs/>
          <w:color w:val="auto"/>
          <w:spacing w:val="10"/>
          <w:sz w:val="32"/>
          <w:szCs w:val="32"/>
        </w:rPr>
        <w:t>航空运营人应当制定本公司导航数据库管理人员训练大纲，并保持其现行有效。训练大纲应包括初始培训、定期复训和重新获得资格训练等类别。</w:t>
      </w:r>
      <w:r>
        <w:rPr>
          <w:rFonts w:hint="eastAsia" w:ascii="仿宋_GB2312" w:hAnsi="仿宋_GB2312" w:eastAsia="仿宋_GB2312" w:cs="仿宋_GB2312"/>
          <w:bCs/>
          <w:color w:val="auto"/>
          <w:spacing w:val="5"/>
          <w:sz w:val="32"/>
          <w:szCs w:val="32"/>
        </w:rPr>
        <w:t>训练大纲中的每一课程阶段应当列明训练内容和计划训练小时数。</w:t>
      </w:r>
    </w:p>
    <w:p w14:paraId="3A9DE9B6">
      <w:pPr>
        <w:tabs>
          <w:tab w:val="left" w:pos="8580"/>
        </w:tabs>
        <w:spacing w:line="360" w:lineRule="auto"/>
        <w:ind w:right="440" w:rightChars="200" w:firstLine="672" w:firstLineChars="200"/>
        <w:rPr>
          <w:rFonts w:hint="eastAsia" w:ascii="仿宋_GB2312" w:hAnsi="仿宋_GB2312" w:eastAsia="仿宋_GB2312" w:cs="仿宋_GB2312"/>
          <w:bCs/>
          <w:color w:val="auto"/>
          <w:spacing w:val="4"/>
          <w:sz w:val="32"/>
          <w:szCs w:val="32"/>
        </w:rPr>
      </w:pPr>
      <w:r>
        <w:rPr>
          <w:rFonts w:hint="eastAsia" w:ascii="仿宋_GB2312" w:hAnsi="仿宋_GB2312" w:eastAsia="仿宋_GB2312" w:cs="仿宋_GB2312"/>
          <w:bCs/>
          <w:color w:val="auto"/>
          <w:spacing w:val="8"/>
          <w:sz w:val="32"/>
          <w:szCs w:val="32"/>
        </w:rPr>
        <w:t>授课人员可以是本公司内部教员或相关技术人员，也可委托其他公司、单位、院校的相关专业教员或技术人员。航空运营人导航数据库管理人员必须完成相关训练并通过检查，</w:t>
      </w:r>
      <w:r>
        <w:rPr>
          <w:rFonts w:hint="eastAsia" w:ascii="仿宋_GB2312" w:hAnsi="仿宋_GB2312" w:eastAsia="仿宋_GB2312" w:cs="仿宋_GB2312"/>
          <w:bCs/>
          <w:color w:val="auto"/>
          <w:spacing w:val="5"/>
          <w:sz w:val="32"/>
          <w:szCs w:val="32"/>
        </w:rPr>
        <w:t>具备相应知识和技能方可从事导航数据库管理工</w:t>
      </w:r>
      <w:r>
        <w:rPr>
          <w:rFonts w:hint="eastAsia" w:ascii="仿宋_GB2312" w:hAnsi="仿宋_GB2312" w:eastAsia="仿宋_GB2312" w:cs="仿宋_GB2312"/>
          <w:bCs/>
          <w:color w:val="auto"/>
          <w:spacing w:val="4"/>
          <w:sz w:val="32"/>
          <w:szCs w:val="32"/>
        </w:rPr>
        <w:t>作。</w:t>
      </w:r>
    </w:p>
    <w:p w14:paraId="7C50DD47">
      <w:pPr>
        <w:tabs>
          <w:tab w:val="left" w:pos="8580"/>
        </w:tabs>
        <w:spacing w:line="360" w:lineRule="auto"/>
        <w:ind w:right="440" w:rightChars="200" w:firstLine="660" w:firstLineChars="200"/>
        <w:rPr>
          <w:rFonts w:hint="eastAsia" w:ascii="仿宋_GB2312" w:hAnsi="仿宋_GB2312" w:eastAsia="仿宋_GB2312" w:cs="仿宋_GB2312"/>
          <w:bCs/>
          <w:color w:val="auto"/>
          <w:spacing w:val="5"/>
          <w:sz w:val="32"/>
          <w:szCs w:val="32"/>
        </w:rPr>
      </w:pPr>
      <w:r>
        <w:rPr>
          <w:rFonts w:hint="eastAsia" w:ascii="仿宋_GB2312" w:hAnsi="仿宋_GB2312" w:eastAsia="仿宋_GB2312" w:cs="仿宋_GB2312"/>
          <w:bCs/>
          <w:color w:val="auto"/>
          <w:spacing w:val="5"/>
          <w:sz w:val="32"/>
          <w:szCs w:val="32"/>
        </w:rPr>
        <w:t>鼓励航空运营人在飞行、签派、机务等相关人员的培训内容中加入导航数据库相关科目。</w:t>
      </w:r>
    </w:p>
    <w:p w14:paraId="79573B4E">
      <w:pPr>
        <w:pStyle w:val="3"/>
        <w:tabs>
          <w:tab w:val="left" w:pos="8580"/>
        </w:tabs>
        <w:spacing w:before="100" w:beforeAutospacing="1" w:after="100" w:afterAutospacing="1" w:line="240" w:lineRule="auto"/>
        <w:ind w:right="440" w:rightChars="200"/>
        <w:rPr>
          <w:rFonts w:hint="eastAsia" w:ascii="黑体" w:hAnsi="黑体" w:eastAsia="黑体" w:cs="黑体"/>
          <w:b w:val="0"/>
          <w:bCs w:val="0"/>
          <w:color w:val="auto"/>
          <w:spacing w:val="0"/>
          <w:sz w:val="32"/>
          <w:szCs w:val="32"/>
        </w:rPr>
      </w:pPr>
      <w:bookmarkStart w:id="189" w:name="_Toc15257"/>
      <w:bookmarkStart w:id="190" w:name="_Toc3488"/>
      <w:bookmarkStart w:id="191" w:name="_Toc20386"/>
      <w:bookmarkStart w:id="192" w:name="_Toc3554"/>
      <w:bookmarkStart w:id="193" w:name="_Toc22173"/>
      <w:bookmarkStart w:id="194" w:name="_Toc10952"/>
      <w:r>
        <w:rPr>
          <w:rFonts w:hint="eastAsia" w:ascii="黑体" w:hAnsi="黑体" w:eastAsia="黑体" w:cs="黑体"/>
          <w:b w:val="0"/>
          <w:bCs w:val="0"/>
          <w:color w:val="auto"/>
          <w:spacing w:val="0"/>
          <w:sz w:val="32"/>
          <w:szCs w:val="32"/>
          <w:lang w:val="en-US" w:eastAsia="zh-CN"/>
        </w:rPr>
        <w:t>8</w:t>
      </w:r>
      <w:r>
        <w:rPr>
          <w:rFonts w:hint="eastAsia" w:ascii="黑体" w:hAnsi="黑体" w:eastAsia="黑体" w:cs="黑体"/>
          <w:b w:val="0"/>
          <w:bCs w:val="0"/>
          <w:color w:val="auto"/>
          <w:spacing w:val="0"/>
          <w:sz w:val="32"/>
          <w:szCs w:val="32"/>
        </w:rPr>
        <w:t>.1 初始培训</w:t>
      </w:r>
      <w:bookmarkEnd w:id="189"/>
      <w:bookmarkEnd w:id="190"/>
      <w:bookmarkEnd w:id="191"/>
      <w:bookmarkEnd w:id="192"/>
      <w:bookmarkEnd w:id="193"/>
      <w:bookmarkEnd w:id="194"/>
    </w:p>
    <w:p w14:paraId="7EF3440E">
      <w:pPr>
        <w:tabs>
          <w:tab w:val="left" w:pos="8580"/>
        </w:tabs>
        <w:spacing w:line="360" w:lineRule="auto"/>
        <w:ind w:left="16" w:right="440" w:rightChars="200" w:firstLine="556"/>
        <w:jc w:val="both"/>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初始培训由导航数据库管理基础培训和航</w:t>
      </w:r>
      <w:r>
        <w:rPr>
          <w:rFonts w:hint="eastAsia" w:ascii="仿宋_GB2312" w:hAnsi="仿宋_GB2312" w:eastAsia="仿宋_GB2312" w:cs="仿宋_GB2312"/>
          <w:bCs/>
          <w:color w:val="auto"/>
          <w:spacing w:val="5"/>
          <w:sz w:val="32"/>
          <w:szCs w:val="32"/>
        </w:rPr>
        <w:t>空公司在职培训（</w:t>
      </w:r>
      <w:r>
        <w:rPr>
          <w:rFonts w:hint="eastAsia" w:ascii="仿宋_GB2312" w:hAnsi="仿宋_GB2312" w:eastAsia="仿宋_GB2312" w:cs="仿宋_GB2312"/>
          <w:bCs/>
          <w:color w:val="auto"/>
          <w:sz w:val="32"/>
          <w:szCs w:val="32"/>
        </w:rPr>
        <w:t>OJT</w:t>
      </w:r>
      <w:r>
        <w:rPr>
          <w:rFonts w:hint="eastAsia" w:ascii="仿宋_GB2312" w:hAnsi="仿宋_GB2312" w:eastAsia="仿宋_GB2312" w:cs="仿宋_GB2312"/>
          <w:bCs/>
          <w:color w:val="auto"/>
          <w:spacing w:val="5"/>
          <w:sz w:val="32"/>
          <w:szCs w:val="32"/>
        </w:rPr>
        <w:t>）两个阶段组成。</w:t>
      </w:r>
    </w:p>
    <w:p w14:paraId="4DA1AD58">
      <w:pPr>
        <w:tabs>
          <w:tab w:val="left" w:pos="8580"/>
        </w:tabs>
        <w:spacing w:line="360" w:lineRule="auto"/>
        <w:ind w:left="21" w:right="440" w:rightChars="200" w:firstLine="55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10"/>
          <w:sz w:val="32"/>
          <w:szCs w:val="32"/>
        </w:rPr>
        <w:t>导航数据库管理基础培训至少包括以下内容：</w:t>
      </w:r>
    </w:p>
    <w:p w14:paraId="22905C0E">
      <w:pPr>
        <w:tabs>
          <w:tab w:val="left" w:pos="8580"/>
        </w:tabs>
        <w:spacing w:line="360" w:lineRule="auto"/>
        <w:ind w:left="587" w:right="440" w:right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（1）导航数据库相关规章、规范解读；</w:t>
      </w:r>
    </w:p>
    <w:p w14:paraId="6582D89A">
      <w:pPr>
        <w:tabs>
          <w:tab w:val="left" w:pos="8580"/>
        </w:tabs>
        <w:spacing w:line="360" w:lineRule="auto"/>
        <w:ind w:left="587" w:right="440" w:right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（2）航空数据收集及整理知识（包括 AIP/NAIP/NOTAM 的信息提取）；</w:t>
      </w:r>
    </w:p>
    <w:p w14:paraId="0E83C098">
      <w:pPr>
        <w:tabs>
          <w:tab w:val="left" w:pos="8580"/>
        </w:tabs>
        <w:spacing w:line="360" w:lineRule="auto"/>
        <w:ind w:left="587" w:right="440" w:right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（3）航图知识；</w:t>
      </w:r>
    </w:p>
    <w:p w14:paraId="153B5B66">
      <w:pPr>
        <w:tabs>
          <w:tab w:val="left" w:pos="8580"/>
        </w:tabs>
        <w:spacing w:line="360" w:lineRule="auto"/>
        <w:ind w:right="440" w:rightChars="200" w:firstLine="652" w:firstLine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（4）传统导航及现代导航基础知识；</w:t>
      </w:r>
    </w:p>
    <w:p w14:paraId="010A6A8B">
      <w:pPr>
        <w:tabs>
          <w:tab w:val="left" w:pos="8580"/>
        </w:tabs>
        <w:spacing w:line="360" w:lineRule="auto"/>
        <w:ind w:left="587" w:right="440" w:right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（5）传统飞行程序及 PBN 飞行程序设计基础知识；</w:t>
      </w:r>
    </w:p>
    <w:p w14:paraId="137EE554">
      <w:pPr>
        <w:tabs>
          <w:tab w:val="left" w:pos="8580"/>
        </w:tabs>
        <w:spacing w:line="360" w:lineRule="auto"/>
        <w:ind w:left="587" w:right="440" w:right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（6）导航系统数据库规范（ARINC-424）；</w:t>
      </w:r>
    </w:p>
    <w:p w14:paraId="11F2E551">
      <w:pPr>
        <w:tabs>
          <w:tab w:val="left" w:pos="8580"/>
        </w:tabs>
        <w:spacing w:line="360" w:lineRule="auto"/>
        <w:ind w:left="587" w:right="440" w:right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（7）导航数据质量控制方法；</w:t>
      </w:r>
    </w:p>
    <w:p w14:paraId="7C3B3F69">
      <w:pPr>
        <w:tabs>
          <w:tab w:val="left" w:pos="8580"/>
        </w:tabs>
        <w:spacing w:line="360" w:lineRule="auto"/>
        <w:ind w:left="587" w:right="440" w:right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（8）航图与导航数据库的关系；</w:t>
      </w:r>
    </w:p>
    <w:p w14:paraId="3411562C">
      <w:pPr>
        <w:tabs>
          <w:tab w:val="left" w:pos="8580"/>
        </w:tabs>
        <w:spacing w:line="360" w:lineRule="auto"/>
        <w:ind w:right="440" w:rightChars="200" w:firstLine="652" w:firstLine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（9）典型导航数据库管理工具使用；</w:t>
      </w:r>
    </w:p>
    <w:p w14:paraId="3FA8FB90">
      <w:pPr>
        <w:tabs>
          <w:tab w:val="left" w:pos="8580"/>
        </w:tabs>
        <w:spacing w:line="360" w:lineRule="auto"/>
        <w:ind w:right="440" w:rightChars="200" w:firstLine="652" w:firstLine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（10）典型飞行管理系统原理及功能；</w:t>
      </w:r>
    </w:p>
    <w:p w14:paraId="197CCB07">
      <w:pPr>
        <w:tabs>
          <w:tab w:val="left" w:pos="8580"/>
        </w:tabs>
        <w:spacing w:line="360" w:lineRule="auto"/>
        <w:ind w:right="440" w:rightChars="200" w:firstLine="652" w:firstLineChars="200"/>
        <w:rPr>
          <w:rFonts w:hint="eastAsia" w:ascii="仿宋_GB2312" w:hAnsi="仿宋_GB2312" w:eastAsia="仿宋_GB2312" w:cs="仿宋_GB2312"/>
          <w:bCs/>
          <w:color w:val="auto"/>
          <w:spacing w:val="3"/>
          <w:sz w:val="32"/>
          <w:szCs w:val="32"/>
        </w:rPr>
      </w:pPr>
      <w:r>
        <w:rPr>
          <w:rFonts w:hint="eastAsia" w:ascii="仿宋_GB2312" w:hAnsi="仿宋_GB2312" w:eastAsia="仿宋_GB2312" w:cs="仿宋_GB2312"/>
          <w:bCs/>
          <w:color w:val="auto"/>
          <w:spacing w:val="3"/>
          <w:sz w:val="32"/>
          <w:szCs w:val="32"/>
        </w:rPr>
        <w:t>（11）飞行模拟机控制显示组件操作。</w:t>
      </w:r>
    </w:p>
    <w:p w14:paraId="64856F8E">
      <w:pPr>
        <w:tabs>
          <w:tab w:val="left" w:pos="8580"/>
        </w:tabs>
        <w:spacing w:line="360" w:lineRule="auto"/>
        <w:ind w:right="440" w:rightChars="200" w:firstLine="652" w:firstLineChars="200"/>
        <w:rPr>
          <w:rFonts w:hint="eastAsia" w:ascii="仿宋_GB2312" w:hAnsi="仿宋_GB2312" w:eastAsia="仿宋_GB2312" w:cs="仿宋_GB2312"/>
          <w:bCs/>
          <w:color w:val="auto"/>
          <w:spacing w:val="10"/>
          <w:sz w:val="32"/>
          <w:szCs w:val="32"/>
        </w:rPr>
      </w:pPr>
      <w:r>
        <w:rPr>
          <w:rFonts w:hint="eastAsia" w:ascii="仿宋_GB2312" w:hAnsi="仿宋_GB2312" w:eastAsia="仿宋_GB2312" w:cs="仿宋_GB2312"/>
          <w:bCs/>
          <w:color w:val="auto"/>
          <w:spacing w:val="3"/>
          <w:sz w:val="32"/>
          <w:szCs w:val="32"/>
        </w:rPr>
        <w:t>航空公司在职培训应至少包含导航数据库管理相关公司手册和业务流程</w:t>
      </w:r>
      <w:r>
        <w:rPr>
          <w:rFonts w:hint="eastAsia" w:ascii="仿宋_GB2312" w:hAnsi="仿宋_GB2312" w:eastAsia="仿宋_GB2312" w:cs="仿宋_GB2312"/>
          <w:bCs/>
          <w:color w:val="auto"/>
          <w:spacing w:val="3"/>
          <w:sz w:val="32"/>
          <w:szCs w:val="32"/>
          <w:lang w:eastAsia="zh-CN"/>
        </w:rPr>
        <w:t>的内容。</w:t>
      </w:r>
    </w:p>
    <w:p w14:paraId="5E0EE1E3">
      <w:pPr>
        <w:pStyle w:val="3"/>
        <w:tabs>
          <w:tab w:val="left" w:pos="8580"/>
        </w:tabs>
        <w:spacing w:before="100" w:beforeAutospacing="1" w:after="100" w:afterAutospacing="1" w:line="240" w:lineRule="auto"/>
        <w:ind w:right="440" w:rightChars="200"/>
        <w:rPr>
          <w:rFonts w:hint="eastAsia" w:ascii="黑体" w:hAnsi="黑体" w:eastAsia="黑体" w:cs="黑体"/>
          <w:b w:val="0"/>
          <w:bCs w:val="0"/>
          <w:color w:val="auto"/>
          <w:spacing w:val="0"/>
          <w:sz w:val="32"/>
          <w:szCs w:val="32"/>
        </w:rPr>
      </w:pPr>
      <w:bookmarkStart w:id="195" w:name="_Toc29673"/>
      <w:bookmarkStart w:id="196" w:name="_Toc17617"/>
      <w:bookmarkStart w:id="197" w:name="_Toc16961"/>
      <w:bookmarkStart w:id="198" w:name="_Toc4527"/>
      <w:bookmarkStart w:id="199" w:name="_Toc2325"/>
      <w:bookmarkStart w:id="200" w:name="_Toc14694"/>
      <w:r>
        <w:rPr>
          <w:rFonts w:hint="eastAsia" w:ascii="黑体" w:hAnsi="黑体" w:eastAsia="黑体" w:cs="黑体"/>
          <w:b w:val="0"/>
          <w:bCs w:val="0"/>
          <w:color w:val="auto"/>
          <w:spacing w:val="0"/>
          <w:sz w:val="32"/>
          <w:szCs w:val="32"/>
          <w:lang w:val="en-US" w:eastAsia="zh-CN"/>
        </w:rPr>
        <w:t>8</w:t>
      </w:r>
      <w:r>
        <w:rPr>
          <w:rFonts w:hint="eastAsia" w:ascii="黑体" w:hAnsi="黑体" w:eastAsia="黑体" w:cs="黑体"/>
          <w:b w:val="0"/>
          <w:bCs w:val="0"/>
          <w:color w:val="auto"/>
          <w:spacing w:val="0"/>
          <w:sz w:val="32"/>
          <w:szCs w:val="32"/>
        </w:rPr>
        <w:t>.2 定期复训</w:t>
      </w:r>
      <w:bookmarkEnd w:id="195"/>
      <w:bookmarkEnd w:id="196"/>
      <w:bookmarkEnd w:id="197"/>
      <w:bookmarkEnd w:id="198"/>
      <w:bookmarkEnd w:id="199"/>
      <w:bookmarkEnd w:id="200"/>
    </w:p>
    <w:p w14:paraId="7CA90845">
      <w:pPr>
        <w:tabs>
          <w:tab w:val="left" w:pos="8580"/>
        </w:tabs>
        <w:spacing w:line="360" w:lineRule="auto"/>
        <w:ind w:left="16" w:right="440" w:rightChars="200" w:firstLine="556"/>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pacing w:val="5"/>
          <w:sz w:val="32"/>
          <w:szCs w:val="32"/>
        </w:rPr>
        <w:t>定期复训</w:t>
      </w:r>
      <w:r>
        <w:rPr>
          <w:rFonts w:hint="eastAsia" w:ascii="仿宋_GB2312" w:hAnsi="仿宋_GB2312" w:eastAsia="仿宋_GB2312" w:cs="仿宋_GB2312"/>
          <w:bCs/>
          <w:color w:val="auto"/>
          <w:spacing w:val="-2"/>
          <w:sz w:val="32"/>
          <w:szCs w:val="32"/>
        </w:rPr>
        <w:t>应</w:t>
      </w:r>
      <w:r>
        <w:rPr>
          <w:rFonts w:hint="eastAsia" w:ascii="仿宋_GB2312" w:hAnsi="仿宋_GB2312" w:eastAsia="仿宋_GB2312" w:cs="仿宋_GB2312"/>
          <w:bCs/>
          <w:color w:val="auto"/>
          <w:spacing w:val="-2"/>
          <w:sz w:val="32"/>
          <w:szCs w:val="32"/>
          <w:highlight w:val="none"/>
        </w:rPr>
        <w:t>每</w:t>
      </w:r>
      <w:r>
        <w:rPr>
          <w:rFonts w:hint="eastAsia" w:ascii="仿宋_GB2312" w:hAnsi="仿宋_GB2312" w:eastAsia="仿宋_GB2312" w:cs="仿宋_GB2312"/>
          <w:bCs/>
          <w:color w:val="auto"/>
          <w:spacing w:val="-2"/>
          <w:sz w:val="32"/>
          <w:szCs w:val="32"/>
          <w:highlight w:val="none"/>
          <w:lang w:val="en-US" w:eastAsia="zh-CN"/>
        </w:rPr>
        <w:t>2个</w:t>
      </w:r>
      <w:r>
        <w:rPr>
          <w:rFonts w:hint="default" w:ascii="仿宋_GB2312" w:hAnsi="仿宋_GB2312" w:eastAsia="仿宋_GB2312" w:cs="仿宋_GB2312"/>
          <w:bCs/>
          <w:color w:val="auto"/>
          <w:spacing w:val="-2"/>
          <w:sz w:val="32"/>
          <w:szCs w:val="32"/>
          <w:highlight w:val="none"/>
          <w:lang w:val="en-US"/>
        </w:rPr>
        <w:t>自然</w:t>
      </w:r>
      <w:r>
        <w:rPr>
          <w:rFonts w:hint="eastAsia" w:ascii="仿宋_GB2312" w:hAnsi="仿宋_GB2312" w:eastAsia="仿宋_GB2312" w:cs="仿宋_GB2312"/>
          <w:bCs/>
          <w:color w:val="auto"/>
          <w:spacing w:val="-2"/>
          <w:sz w:val="32"/>
          <w:szCs w:val="32"/>
          <w:highlight w:val="none"/>
        </w:rPr>
        <w:t>年开展1次</w:t>
      </w:r>
      <w:r>
        <w:rPr>
          <w:rFonts w:hint="eastAsia" w:ascii="仿宋_GB2312" w:hAnsi="仿宋_GB2312" w:eastAsia="仿宋_GB2312" w:cs="仿宋_GB2312"/>
          <w:bCs/>
          <w:color w:val="auto"/>
          <w:spacing w:val="-2"/>
          <w:sz w:val="32"/>
          <w:szCs w:val="32"/>
        </w:rPr>
        <w:t>，</w:t>
      </w:r>
      <w:r>
        <w:rPr>
          <w:rFonts w:hint="eastAsia" w:ascii="仿宋_GB2312" w:hAnsi="仿宋_GB2312" w:eastAsia="仿宋_GB2312" w:cs="仿宋_GB2312"/>
          <w:bCs/>
          <w:color w:val="auto"/>
          <w:spacing w:val="-2"/>
          <w:sz w:val="32"/>
          <w:szCs w:val="32"/>
          <w:lang w:val="en-US" w:eastAsia="zh-CN"/>
        </w:rPr>
        <w:t>且</w:t>
      </w:r>
      <w:r>
        <w:rPr>
          <w:rFonts w:hint="eastAsia" w:ascii="仿宋_GB2312" w:hAnsi="仿宋_GB2312" w:eastAsia="仿宋_GB2312" w:cs="仿宋_GB2312"/>
          <w:bCs/>
          <w:color w:val="auto"/>
          <w:spacing w:val="-2"/>
          <w:sz w:val="32"/>
          <w:szCs w:val="32"/>
        </w:rPr>
        <w:t>两次</w:t>
      </w:r>
      <w:r>
        <w:rPr>
          <w:rFonts w:hint="eastAsia" w:ascii="仿宋_GB2312" w:hAnsi="仿宋_GB2312" w:eastAsia="仿宋_GB2312" w:cs="仿宋_GB2312"/>
          <w:bCs/>
          <w:color w:val="auto"/>
          <w:spacing w:val="5"/>
          <w:sz w:val="32"/>
          <w:szCs w:val="32"/>
        </w:rPr>
        <w:t>定期复训</w:t>
      </w:r>
      <w:r>
        <w:rPr>
          <w:rFonts w:hint="eastAsia" w:ascii="仿宋_GB2312" w:hAnsi="仿宋_GB2312" w:eastAsia="仿宋_GB2312" w:cs="仿宋_GB2312"/>
          <w:bCs/>
          <w:color w:val="auto"/>
          <w:spacing w:val="-2"/>
          <w:sz w:val="32"/>
          <w:szCs w:val="32"/>
        </w:rPr>
        <w:t>的间隔不超过</w:t>
      </w:r>
      <w:r>
        <w:rPr>
          <w:rFonts w:hint="eastAsia" w:ascii="仿宋_GB2312" w:hAnsi="仿宋_GB2312" w:eastAsia="仿宋_GB2312" w:cs="仿宋_GB2312"/>
          <w:bCs/>
          <w:color w:val="auto"/>
          <w:spacing w:val="-2"/>
          <w:sz w:val="32"/>
          <w:szCs w:val="32"/>
          <w:lang w:val="en-US" w:eastAsia="zh-CN"/>
        </w:rPr>
        <w:t>30</w:t>
      </w:r>
      <w:r>
        <w:rPr>
          <w:rFonts w:hint="eastAsia" w:ascii="仿宋_GB2312" w:hAnsi="仿宋_GB2312" w:eastAsia="仿宋_GB2312" w:cs="仿宋_GB2312"/>
          <w:bCs/>
          <w:color w:val="auto"/>
          <w:spacing w:val="-2"/>
          <w:sz w:val="32"/>
          <w:szCs w:val="32"/>
        </w:rPr>
        <w:t>个月。</w:t>
      </w:r>
      <w:r>
        <w:rPr>
          <w:rFonts w:hint="eastAsia" w:ascii="仿宋_GB2312" w:hAnsi="仿宋_GB2312" w:eastAsia="仿宋_GB2312" w:cs="仿宋_GB2312"/>
          <w:bCs/>
          <w:color w:val="auto"/>
          <w:spacing w:val="5"/>
          <w:sz w:val="32"/>
          <w:szCs w:val="32"/>
        </w:rPr>
        <w:t>训练内容应包括基础培训中的适当科目，以及相关规章、规范和手册的变更等内容。</w:t>
      </w:r>
    </w:p>
    <w:p w14:paraId="76AC4F08">
      <w:pPr>
        <w:pStyle w:val="3"/>
        <w:tabs>
          <w:tab w:val="left" w:pos="8580"/>
        </w:tabs>
        <w:spacing w:before="100" w:beforeAutospacing="1" w:after="100" w:afterAutospacing="1" w:line="240" w:lineRule="auto"/>
        <w:ind w:right="440" w:rightChars="200"/>
        <w:jc w:val="left"/>
        <w:rPr>
          <w:rFonts w:hint="eastAsia" w:ascii="黑体" w:hAnsi="黑体" w:eastAsia="黑体" w:cs="黑体"/>
          <w:b w:val="0"/>
          <w:bCs w:val="0"/>
          <w:color w:val="auto"/>
          <w:spacing w:val="0"/>
          <w:sz w:val="32"/>
          <w:szCs w:val="32"/>
        </w:rPr>
      </w:pPr>
      <w:bookmarkStart w:id="201" w:name="_Toc27989"/>
      <w:bookmarkStart w:id="202" w:name="_Toc29101"/>
      <w:bookmarkStart w:id="203" w:name="_Toc9217"/>
      <w:bookmarkStart w:id="204" w:name="_Toc14343"/>
      <w:bookmarkStart w:id="205" w:name="_Toc7445"/>
      <w:bookmarkStart w:id="206" w:name="_Toc5312"/>
      <w:r>
        <w:rPr>
          <w:rFonts w:hint="eastAsia" w:ascii="黑体" w:hAnsi="黑体" w:eastAsia="黑体" w:cs="黑体"/>
          <w:b w:val="0"/>
          <w:bCs w:val="0"/>
          <w:color w:val="auto"/>
          <w:spacing w:val="0"/>
          <w:sz w:val="32"/>
          <w:szCs w:val="32"/>
          <w:lang w:eastAsia="zh-CN"/>
        </w:rPr>
        <w:t>8</w:t>
      </w:r>
      <w:r>
        <w:rPr>
          <w:rFonts w:hint="eastAsia" w:ascii="黑体" w:hAnsi="黑体" w:eastAsia="黑体" w:cs="黑体"/>
          <w:b w:val="0"/>
          <w:bCs w:val="0"/>
          <w:color w:val="auto"/>
          <w:spacing w:val="0"/>
          <w:sz w:val="32"/>
          <w:szCs w:val="32"/>
        </w:rPr>
        <w:t>.3 重新获得资格训练</w:t>
      </w:r>
      <w:bookmarkEnd w:id="201"/>
      <w:bookmarkEnd w:id="202"/>
      <w:bookmarkEnd w:id="203"/>
      <w:bookmarkEnd w:id="204"/>
      <w:bookmarkEnd w:id="205"/>
      <w:bookmarkEnd w:id="206"/>
    </w:p>
    <w:p w14:paraId="40C84197">
      <w:pPr>
        <w:tabs>
          <w:tab w:val="left" w:pos="8580"/>
        </w:tabs>
        <w:spacing w:line="360" w:lineRule="auto"/>
        <w:ind w:left="16" w:right="440" w:rightChars="200" w:firstLine="556"/>
        <w:jc w:val="both"/>
        <w:rPr>
          <w:rFonts w:hint="eastAsia" w:ascii="仿宋_GB2312" w:hAnsi="仿宋_GB2312" w:eastAsia="仿宋_GB2312" w:cs="仿宋_GB2312"/>
          <w:bCs/>
          <w:color w:val="auto"/>
          <w:spacing w:val="5"/>
          <w:sz w:val="32"/>
          <w:szCs w:val="32"/>
        </w:rPr>
      </w:pPr>
      <w:r>
        <w:rPr>
          <w:rFonts w:hint="eastAsia" w:ascii="仿宋_GB2312" w:hAnsi="仿宋_GB2312" w:eastAsia="仿宋_GB2312" w:cs="仿宋_GB2312"/>
          <w:bCs/>
          <w:color w:val="auto"/>
          <w:spacing w:val="5"/>
          <w:sz w:val="32"/>
          <w:szCs w:val="32"/>
        </w:rPr>
        <w:t>对于未按规定完成定期复训丧失资格或长时间未从事导航数据库管理工作的待复岗人员，应在上岗前完成重新获得资格训练：</w:t>
      </w:r>
    </w:p>
    <w:p w14:paraId="701B5AB6">
      <w:pPr>
        <w:tabs>
          <w:tab w:val="left" w:pos="8580"/>
        </w:tabs>
        <w:spacing w:line="360" w:lineRule="auto"/>
        <w:ind w:right="440" w:rightChars="200" w:firstLine="660" w:firstLineChars="200"/>
        <w:jc w:val="both"/>
        <w:rPr>
          <w:rFonts w:hint="eastAsia" w:ascii="仿宋_GB2312" w:hAnsi="仿宋_GB2312" w:eastAsia="仿宋_GB2312" w:cs="仿宋_GB2312"/>
          <w:bCs/>
          <w:color w:val="auto"/>
          <w:spacing w:val="5"/>
          <w:sz w:val="32"/>
          <w:szCs w:val="32"/>
        </w:rPr>
      </w:pPr>
      <w:r>
        <w:rPr>
          <w:rFonts w:hint="eastAsia" w:ascii="仿宋_GB2312" w:hAnsi="仿宋_GB2312" w:eastAsia="仿宋_GB2312" w:cs="仿宋_GB2312"/>
          <w:bCs/>
          <w:color w:val="auto"/>
          <w:spacing w:val="5"/>
          <w:sz w:val="32"/>
          <w:szCs w:val="32"/>
        </w:rPr>
        <w:t>（1）对于未按规定完成定期复训丧失资格在36个月（含）以内的，训练内容按定期复训要求执行；</w:t>
      </w:r>
    </w:p>
    <w:p w14:paraId="3016D631">
      <w:pPr>
        <w:tabs>
          <w:tab w:val="left" w:pos="8580"/>
        </w:tabs>
        <w:spacing w:line="360" w:lineRule="auto"/>
        <w:ind w:right="440" w:rightChars="200" w:firstLine="660" w:firstLineChars="200"/>
        <w:jc w:val="both"/>
        <w:rPr>
          <w:rFonts w:hint="eastAsia" w:ascii="仿宋_GB2312" w:hAnsi="仿宋_GB2312" w:eastAsia="仿宋_GB2312" w:cs="仿宋_GB2312"/>
          <w:bCs/>
          <w:color w:val="auto"/>
          <w:spacing w:val="5"/>
          <w:sz w:val="32"/>
          <w:szCs w:val="32"/>
        </w:rPr>
      </w:pPr>
      <w:r>
        <w:rPr>
          <w:rFonts w:hint="eastAsia" w:ascii="仿宋_GB2312" w:hAnsi="仿宋_GB2312" w:eastAsia="仿宋_GB2312" w:cs="仿宋_GB2312"/>
          <w:bCs/>
          <w:color w:val="auto"/>
          <w:spacing w:val="5"/>
          <w:sz w:val="32"/>
          <w:szCs w:val="32"/>
        </w:rPr>
        <w:t>（2）对于连续12个月以上未从事导航数据库管理工作的，训练内容应包括适当的在职培训，以及相关规章、规范和手册的变更等内容；</w:t>
      </w:r>
    </w:p>
    <w:p w14:paraId="61672805">
      <w:pPr>
        <w:tabs>
          <w:tab w:val="left" w:pos="8580"/>
        </w:tabs>
        <w:spacing w:line="360" w:lineRule="auto"/>
        <w:ind w:right="440" w:rightChars="200" w:firstLine="660" w:firstLineChars="200"/>
        <w:jc w:val="both"/>
        <w:rPr>
          <w:rFonts w:hint="eastAsia" w:ascii="仿宋_GB2312" w:hAnsi="仿宋_GB2312" w:eastAsia="仿宋_GB2312" w:cs="仿宋_GB2312"/>
          <w:bCs/>
          <w:color w:val="auto"/>
          <w:spacing w:val="5"/>
          <w:sz w:val="32"/>
          <w:szCs w:val="32"/>
        </w:rPr>
      </w:pPr>
      <w:r>
        <w:rPr>
          <w:rFonts w:hint="eastAsia" w:ascii="仿宋_GB2312" w:hAnsi="仿宋_GB2312" w:eastAsia="仿宋_GB2312" w:cs="仿宋_GB2312"/>
          <w:bCs/>
          <w:color w:val="auto"/>
          <w:spacing w:val="5"/>
          <w:sz w:val="32"/>
          <w:szCs w:val="32"/>
        </w:rPr>
        <w:t>（3）对于未按规定完成定期复训丧失资格在36个月以上的，训练内容应包括初始培训中的全部科目。</w:t>
      </w:r>
    </w:p>
    <w:p w14:paraId="11F31D68">
      <w:pPr>
        <w:pStyle w:val="2"/>
        <w:tabs>
          <w:tab w:val="left" w:pos="8580"/>
        </w:tabs>
        <w:spacing w:before="100" w:beforeAutospacing="1" w:after="100" w:afterAutospacing="1" w:line="240" w:lineRule="auto"/>
        <w:ind w:right="440" w:rightChars="200"/>
        <w:rPr>
          <w:rFonts w:hint="eastAsia" w:ascii="黑体" w:hAnsi="黑体" w:cs="黑体"/>
          <w:b w:val="0"/>
          <w:bCs w:val="0"/>
          <w:color w:val="auto"/>
          <w:sz w:val="32"/>
          <w:szCs w:val="32"/>
        </w:rPr>
      </w:pPr>
      <w:bookmarkStart w:id="207" w:name="_Toc605"/>
      <w:bookmarkStart w:id="208" w:name="_Toc20298"/>
      <w:bookmarkStart w:id="209" w:name="_Toc25261"/>
      <w:bookmarkStart w:id="210" w:name="_Toc3257"/>
      <w:bookmarkStart w:id="211" w:name="_Toc25080"/>
      <w:r>
        <w:rPr>
          <w:rFonts w:hint="eastAsia" w:ascii="黑体" w:hAnsi="黑体" w:cs="黑体"/>
          <w:b w:val="0"/>
          <w:bCs w:val="0"/>
          <w:color w:val="auto"/>
          <w:sz w:val="32"/>
          <w:szCs w:val="32"/>
          <w:lang w:val="en-US" w:eastAsia="zh-CN"/>
        </w:rPr>
        <w:t>9</w:t>
      </w:r>
      <w:r>
        <w:rPr>
          <w:rFonts w:hint="eastAsia" w:ascii="黑体" w:hAnsi="黑体" w:cs="黑体"/>
          <w:b w:val="0"/>
          <w:bCs w:val="0"/>
          <w:color w:val="auto"/>
          <w:sz w:val="32"/>
          <w:szCs w:val="32"/>
        </w:rPr>
        <w:t>.运行监督和检查</w:t>
      </w:r>
    </w:p>
    <w:p w14:paraId="3D04522D">
      <w:pPr>
        <w:pStyle w:val="6"/>
        <w:tabs>
          <w:tab w:val="left" w:pos="8580"/>
        </w:tabs>
        <w:spacing w:line="360" w:lineRule="auto"/>
        <w:ind w:left="0" w:right="440" w:rightChars="200" w:firstLine="555"/>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pacing w:val="-2"/>
          <w:sz w:val="32"/>
          <w:szCs w:val="32"/>
        </w:rPr>
        <w:t>局方将对航空运营人导航数据库质量管理工作进行监督和检查，内容主要包括：</w:t>
      </w:r>
    </w:p>
    <w:p w14:paraId="23983D6A">
      <w:pPr>
        <w:tabs>
          <w:tab w:val="left" w:pos="1000"/>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（1）导航数据库管理政策及要求；</w:t>
      </w:r>
    </w:p>
    <w:p w14:paraId="67992D06">
      <w:pPr>
        <w:tabs>
          <w:tab w:val="left" w:pos="1000"/>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（2）导航数据库管理机构设置；</w:t>
      </w:r>
    </w:p>
    <w:p w14:paraId="0230C675">
      <w:pPr>
        <w:tabs>
          <w:tab w:val="left" w:pos="1000"/>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（3）导航数据库管理人员配置及能力；</w:t>
      </w:r>
    </w:p>
    <w:p w14:paraId="7D184D88">
      <w:pPr>
        <w:tabs>
          <w:tab w:val="left" w:pos="1000"/>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（4）导航数据库管理人员培训记录；</w:t>
      </w:r>
    </w:p>
    <w:p w14:paraId="02CBB8C3">
      <w:pPr>
        <w:tabs>
          <w:tab w:val="left" w:pos="1000"/>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（5）导航数据库的数据质量要求；</w:t>
      </w:r>
    </w:p>
    <w:p w14:paraId="0A6D8903">
      <w:pPr>
        <w:tabs>
          <w:tab w:val="left" w:pos="1000"/>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（6）数据供应商管理；</w:t>
      </w:r>
    </w:p>
    <w:p w14:paraId="65668CA2">
      <w:pPr>
        <w:tabs>
          <w:tab w:val="left" w:pos="1000"/>
          <w:tab w:val="left" w:pos="8580"/>
        </w:tabs>
        <w:spacing w:line="360" w:lineRule="auto"/>
        <w:ind w:right="440" w:rightChars="200" w:firstLine="632" w:firstLineChars="200"/>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bCs/>
          <w:color w:val="auto"/>
          <w:spacing w:val="-2"/>
          <w:sz w:val="32"/>
          <w:szCs w:val="32"/>
        </w:rPr>
        <w:t>（7）导航数据库相关软硬件的管理；</w:t>
      </w:r>
    </w:p>
    <w:p w14:paraId="1D0A6250">
      <w:pPr>
        <w:tabs>
          <w:tab w:val="left" w:pos="1000"/>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（8）导航数据库质量</w:t>
      </w:r>
      <w:r>
        <w:rPr>
          <w:rFonts w:hint="eastAsia" w:ascii="仿宋_GB2312" w:hAnsi="仿宋_GB2312" w:eastAsia="仿宋_GB2312" w:cs="仿宋_GB2312"/>
          <w:bCs/>
          <w:color w:val="auto"/>
          <w:spacing w:val="-2"/>
          <w:sz w:val="32"/>
          <w:szCs w:val="32"/>
          <w:lang w:eastAsia="zh-CN"/>
        </w:rPr>
        <w:t>审计</w:t>
      </w:r>
      <w:r>
        <w:rPr>
          <w:rFonts w:hint="eastAsia" w:ascii="仿宋_GB2312" w:hAnsi="仿宋_GB2312" w:eastAsia="仿宋_GB2312" w:cs="仿宋_GB2312"/>
          <w:bCs/>
          <w:color w:val="auto"/>
          <w:spacing w:val="-2"/>
          <w:sz w:val="32"/>
          <w:szCs w:val="32"/>
        </w:rPr>
        <w:t>记录；</w:t>
      </w:r>
    </w:p>
    <w:p w14:paraId="48F19437">
      <w:pPr>
        <w:tabs>
          <w:tab w:val="left" w:pos="1000"/>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（9）导航数据库工作记录；</w:t>
      </w:r>
    </w:p>
    <w:p w14:paraId="5EB809CF">
      <w:pPr>
        <w:tabs>
          <w:tab w:val="left" w:pos="1000"/>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（10）航空运营人对受委托方的管理；</w:t>
      </w:r>
    </w:p>
    <w:p w14:paraId="40835F70">
      <w:pPr>
        <w:tabs>
          <w:tab w:val="left" w:pos="1000"/>
          <w:tab w:val="left" w:pos="8580"/>
        </w:tabs>
        <w:spacing w:line="360" w:lineRule="auto"/>
        <w:ind w:right="440" w:rightChars="200" w:firstLine="632" w:firstLineChars="200"/>
        <w:rPr>
          <w:rFonts w:hint="eastAsia" w:ascii="仿宋_GB2312" w:hAnsi="仿宋_GB2312" w:eastAsia="仿宋_GB2312" w:cs="仿宋_GB2312"/>
          <w:bCs/>
          <w:color w:val="auto"/>
          <w:spacing w:val="-2"/>
          <w:sz w:val="32"/>
          <w:szCs w:val="32"/>
        </w:rPr>
      </w:pPr>
      <w:r>
        <w:rPr>
          <w:rFonts w:hint="eastAsia" w:ascii="仿宋_GB2312" w:hAnsi="仿宋_GB2312" w:eastAsia="仿宋_GB2312" w:cs="仿宋_GB2312"/>
          <w:bCs/>
          <w:color w:val="auto"/>
          <w:spacing w:val="-2"/>
          <w:sz w:val="32"/>
          <w:szCs w:val="32"/>
        </w:rPr>
        <w:t>（11）其他程序、文件或记录等。</w:t>
      </w:r>
    </w:p>
    <w:p w14:paraId="44CC5E7A">
      <w:pPr>
        <w:pStyle w:val="2"/>
        <w:tabs>
          <w:tab w:val="left" w:pos="8580"/>
        </w:tabs>
        <w:spacing w:before="100" w:beforeAutospacing="1" w:after="100" w:afterAutospacing="1" w:line="240" w:lineRule="auto"/>
        <w:ind w:right="440" w:rightChars="200"/>
        <w:rPr>
          <w:rFonts w:hint="eastAsia" w:ascii="黑体" w:hAnsi="黑体" w:cs="黑体"/>
          <w:b w:val="0"/>
          <w:bCs w:val="0"/>
          <w:color w:val="auto"/>
          <w:sz w:val="32"/>
          <w:szCs w:val="32"/>
        </w:rPr>
      </w:pPr>
      <w:r>
        <w:rPr>
          <w:rFonts w:hint="eastAsia" w:ascii="黑体" w:hAnsi="黑体" w:cs="黑体"/>
          <w:b w:val="0"/>
          <w:bCs w:val="0"/>
          <w:color w:val="auto"/>
          <w:sz w:val="32"/>
          <w:szCs w:val="32"/>
          <w:lang w:val="en-US" w:eastAsia="zh-CN"/>
        </w:rPr>
        <w:t>10</w:t>
      </w:r>
      <w:r>
        <w:rPr>
          <w:rFonts w:hint="eastAsia" w:ascii="黑体" w:hAnsi="黑体" w:cs="黑体"/>
          <w:b w:val="0"/>
          <w:bCs w:val="0"/>
          <w:color w:val="auto"/>
          <w:sz w:val="32"/>
          <w:szCs w:val="32"/>
        </w:rPr>
        <w:t>.生效与废止</w:t>
      </w:r>
      <w:bookmarkEnd w:id="207"/>
      <w:bookmarkEnd w:id="208"/>
      <w:bookmarkEnd w:id="209"/>
      <w:bookmarkEnd w:id="210"/>
      <w:bookmarkEnd w:id="211"/>
    </w:p>
    <w:p w14:paraId="3A02904B">
      <w:pPr>
        <w:pStyle w:val="6"/>
        <w:tabs>
          <w:tab w:val="left" w:pos="8580"/>
        </w:tabs>
        <w:spacing w:line="360" w:lineRule="auto"/>
        <w:ind w:left="0" w:right="440" w:rightChars="200" w:firstLine="561"/>
        <w:rPr>
          <w:rFonts w:hint="eastAsia" w:ascii="仿宋_GB2312" w:hAnsi="仿宋_GB2312" w:eastAsia="仿宋_GB2312" w:cs="仿宋_GB2312"/>
          <w:b w:val="0"/>
          <w:color w:val="auto"/>
          <w:spacing w:val="-2"/>
          <w:sz w:val="32"/>
          <w:szCs w:val="32"/>
        </w:rPr>
      </w:pPr>
      <w:r>
        <w:rPr>
          <w:rFonts w:hint="eastAsia" w:ascii="仿宋_GB2312" w:hAnsi="仿宋_GB2312" w:eastAsia="仿宋_GB2312" w:cs="仿宋_GB2312"/>
          <w:b w:val="0"/>
          <w:color w:val="auto"/>
          <w:spacing w:val="-2"/>
          <w:sz w:val="32"/>
          <w:szCs w:val="32"/>
        </w:rPr>
        <w:t>本通告自下发之日起实施。咨询通告《航空运营人导航数据库管理规范》（AC-91-FS-2014-21）同时废止。</w:t>
      </w:r>
    </w:p>
    <w:p w14:paraId="69CC29A7">
      <w:pPr>
        <w:tabs>
          <w:tab w:val="left" w:pos="8580"/>
        </w:tabs>
        <w:ind w:right="440" w:rightChars="200"/>
        <w:rPr>
          <w:rFonts w:hint="eastAsia"/>
        </w:rPr>
      </w:pPr>
    </w:p>
    <w:sectPr>
      <w:footerReference r:id="rId8" w:type="default"/>
      <w:footerReference r:id="rId9" w:type="even"/>
      <w:pgSz w:w="11910" w:h="16840"/>
      <w:pgMar w:top="1840" w:right="1350" w:bottom="1460" w:left="1540" w:header="0" w:footer="126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BEDC1">
    <w:pPr>
      <w:pStyle w:val="9"/>
      <w:jc w:val="center"/>
    </w:pPr>
  </w:p>
  <w:p w14:paraId="1EEB3272">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1F88F">
    <w:pPr>
      <w:pStyle w:val="6"/>
      <w:spacing w:line="14" w:lineRule="auto"/>
      <w:ind w:left="0"/>
      <w:rPr>
        <w:b w:val="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A82D2">
    <w:pPr>
      <w:pStyle w:val="6"/>
      <w:spacing w:line="14" w:lineRule="auto"/>
      <w:ind w:left="0"/>
      <w:rPr>
        <w:b w:val="0"/>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0F93B">
    <w:pPr>
      <w:pStyle w:val="6"/>
      <w:spacing w:line="14" w:lineRule="auto"/>
      <w:ind w:left="0"/>
      <w:rPr>
        <w:b w:val="0"/>
        <w:sz w:val="20"/>
      </w:rPr>
    </w:pPr>
    <w:r>
      <mc:AlternateContent>
        <mc:Choice Requires="wps">
          <w:drawing>
            <wp:anchor distT="0" distB="0" distL="0" distR="0" simplePos="0" relativeHeight="251660288" behindDoc="1" locked="0" layoutInCell="1" allowOverlap="1">
              <wp:simplePos x="0" y="0"/>
              <wp:positionH relativeFrom="page">
                <wp:posOffset>5844540</wp:posOffset>
              </wp:positionH>
              <wp:positionV relativeFrom="page">
                <wp:posOffset>9752965</wp:posOffset>
              </wp:positionV>
              <wp:extent cx="647065" cy="222250"/>
              <wp:effectExtent l="0" t="0" r="0" b="0"/>
              <wp:wrapNone/>
              <wp:docPr id="3" name="Textbox 5"/>
              <wp:cNvGraphicFramePr/>
              <a:graphic xmlns:a="http://schemas.openxmlformats.org/drawingml/2006/main">
                <a:graphicData uri="http://schemas.microsoft.com/office/word/2010/wordprocessingShape">
                  <wps:wsp>
                    <wps:cNvSpPr txBox="1"/>
                    <wps:spPr>
                      <a:xfrm>
                        <a:off x="0" y="0"/>
                        <a:ext cx="647065" cy="222250"/>
                      </a:xfrm>
                      <a:prstGeom prst="rect">
                        <a:avLst/>
                      </a:prstGeom>
                    </wps:spPr>
                    <wps:txbx>
                      <w:txbxContent>
                        <w:p w14:paraId="080F4019">
                          <w:pPr>
                            <w:spacing w:before="7"/>
                            <w:ind w:left="20"/>
                            <w:rPr>
                              <w:rFonts w:ascii="Times New Roman" w:hAnsi="Times New Roman"/>
                              <w:sz w:val="28"/>
                            </w:rPr>
                          </w:pPr>
                          <w:r>
                            <w:rPr>
                              <w:rFonts w:ascii="Times New Roman" w:hAnsi="Times New Roman"/>
                              <w:sz w:val="28"/>
                            </w:rPr>
                            <w:t>—</w:t>
                          </w:r>
                          <w:r>
                            <w:rPr>
                              <w:rFonts w:ascii="Times New Roman" w:hAnsi="Times New Roman"/>
                              <w:spacing w:val="-4"/>
                              <w:sz w:val="28"/>
                            </w:rPr>
                            <w:t xml:space="preserve"> </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3</w:t>
                          </w:r>
                          <w:r>
                            <w:rPr>
                              <w:rFonts w:ascii="Times New Roman" w:hAnsi="Times New Roman"/>
                              <w:sz w:val="28"/>
                            </w:rPr>
                            <w:fldChar w:fldCharType="end"/>
                          </w:r>
                          <w:r>
                            <w:rPr>
                              <w:rFonts w:ascii="Times New Roman" w:hAnsi="Times New Roman"/>
                              <w:spacing w:val="-4"/>
                              <w:sz w:val="28"/>
                            </w:rPr>
                            <w:t xml:space="preserve"> </w:t>
                          </w:r>
                          <w:r>
                            <w:rPr>
                              <w:rFonts w:ascii="Times New Roman" w:hAnsi="Times New Roman"/>
                              <w:spacing w:val="-10"/>
                              <w:sz w:val="28"/>
                            </w:rPr>
                            <w:t>—</w:t>
                          </w:r>
                        </w:p>
                      </w:txbxContent>
                    </wps:txbx>
                    <wps:bodyPr wrap="square" lIns="0" tIns="0" rIns="0" bIns="0" rtlCol="0">
                      <a:noAutofit/>
                    </wps:bodyPr>
                  </wps:wsp>
                </a:graphicData>
              </a:graphic>
            </wp:anchor>
          </w:drawing>
        </mc:Choice>
        <mc:Fallback>
          <w:pict>
            <v:shape id="Textbox 5" o:spid="_x0000_s1026" o:spt="202" type="#_x0000_t202" style="position:absolute;left:0pt;margin-left:460.2pt;margin-top:767.95pt;height:17.5pt;width:50.95pt;mso-position-horizontal-relative:page;mso-position-vertical-relative:page;z-index:-251656192;mso-width-relative:page;mso-height-relative:page;" filled="f" stroked="f" coordsize="21600,21600" o:gfxdata="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2MWNPbAAAADgEAAA8AAAAAAAAAAQAgAAAAIgAAAGRycy9kb3ducmV2LnhtbFBLAQIUABQAAAAI&#10;AIdO4kCUMZmmsQEAAHMDAAAOAAAAAAAAAAEAIAAAACoBAABkcnMvZTJvRG9jLnhtbFBLBQYAAAAA&#10;BgAGAFkBAABNBQAAAAA=&#10;">
              <v:fill on="f" focussize="0,0"/>
              <v:stroke on="f"/>
              <v:imagedata o:title=""/>
              <o:lock v:ext="edit" aspectratio="f"/>
              <v:textbox inset="0mm,0mm,0mm,0mm">
                <w:txbxContent>
                  <w:p w14:paraId="080F4019">
                    <w:pPr>
                      <w:spacing w:before="7"/>
                      <w:ind w:left="20"/>
                      <w:rPr>
                        <w:rFonts w:ascii="Times New Roman" w:hAnsi="Times New Roman"/>
                        <w:sz w:val="28"/>
                      </w:rPr>
                    </w:pPr>
                    <w:r>
                      <w:rPr>
                        <w:rFonts w:ascii="Times New Roman" w:hAnsi="Times New Roman"/>
                        <w:sz w:val="28"/>
                      </w:rPr>
                      <w:t>—</w:t>
                    </w:r>
                    <w:r>
                      <w:rPr>
                        <w:rFonts w:ascii="Times New Roman" w:hAnsi="Times New Roman"/>
                        <w:spacing w:val="-4"/>
                        <w:sz w:val="28"/>
                      </w:rPr>
                      <w:t xml:space="preserve"> </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3</w:t>
                    </w:r>
                    <w:r>
                      <w:rPr>
                        <w:rFonts w:ascii="Times New Roman" w:hAnsi="Times New Roman"/>
                        <w:sz w:val="28"/>
                      </w:rPr>
                      <w:fldChar w:fldCharType="end"/>
                    </w:r>
                    <w:r>
                      <w:rPr>
                        <w:rFonts w:ascii="Times New Roman" w:hAnsi="Times New Roman"/>
                        <w:spacing w:val="-4"/>
                        <w:sz w:val="28"/>
                      </w:rPr>
                      <w:t xml:space="preserve"> </w:t>
                    </w:r>
                    <w:r>
                      <w:rPr>
                        <w:rFonts w:ascii="Times New Roman" w:hAnsi="Times New Roman"/>
                        <w:spacing w:val="-10"/>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87C20">
    <w:pPr>
      <w:pStyle w:val="6"/>
      <w:spacing w:line="14" w:lineRule="auto"/>
      <w:ind w:left="0"/>
      <w:rPr>
        <w:b w:val="0"/>
        <w:sz w:val="20"/>
      </w:rPr>
    </w:pPr>
    <w:r>
      <mc:AlternateContent>
        <mc:Choice Requires="wps">
          <w:drawing>
            <wp:anchor distT="0" distB="0" distL="0" distR="0" simplePos="0" relativeHeight="251661312" behindDoc="1" locked="0" layoutInCell="1" allowOverlap="1">
              <wp:simplePos x="0" y="0"/>
              <wp:positionH relativeFrom="page">
                <wp:posOffset>1067435</wp:posOffset>
              </wp:positionH>
              <wp:positionV relativeFrom="page">
                <wp:posOffset>9752965</wp:posOffset>
              </wp:positionV>
              <wp:extent cx="647065" cy="222250"/>
              <wp:effectExtent l="0" t="0" r="0" b="0"/>
              <wp:wrapNone/>
              <wp:docPr id="4" name="Textbox 6"/>
              <wp:cNvGraphicFramePr/>
              <a:graphic xmlns:a="http://schemas.openxmlformats.org/drawingml/2006/main">
                <a:graphicData uri="http://schemas.microsoft.com/office/word/2010/wordprocessingShape">
                  <wps:wsp>
                    <wps:cNvSpPr txBox="1"/>
                    <wps:spPr>
                      <a:xfrm>
                        <a:off x="0" y="0"/>
                        <a:ext cx="647065" cy="222250"/>
                      </a:xfrm>
                      <a:prstGeom prst="rect">
                        <a:avLst/>
                      </a:prstGeom>
                    </wps:spPr>
                    <wps:txbx>
                      <w:txbxContent>
                        <w:p w14:paraId="444FF102">
                          <w:pPr>
                            <w:spacing w:before="7"/>
                            <w:ind w:left="20"/>
                            <w:rPr>
                              <w:rFonts w:ascii="Times New Roman" w:hAnsi="Times New Roman"/>
                              <w:sz w:val="28"/>
                            </w:rPr>
                          </w:pPr>
                          <w:r>
                            <w:rPr>
                              <w:rFonts w:ascii="Times New Roman" w:hAnsi="Times New Roman"/>
                              <w:sz w:val="28"/>
                            </w:rPr>
                            <w:t>—</w:t>
                          </w:r>
                          <w:r>
                            <w:rPr>
                              <w:rFonts w:ascii="Times New Roman" w:hAnsi="Times New Roman"/>
                              <w:spacing w:val="-4"/>
                              <w:sz w:val="28"/>
                            </w:rPr>
                            <w:t xml:space="preserve"> </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22</w:t>
                          </w:r>
                          <w:r>
                            <w:rPr>
                              <w:rFonts w:ascii="Times New Roman" w:hAnsi="Times New Roman"/>
                              <w:sz w:val="28"/>
                            </w:rPr>
                            <w:fldChar w:fldCharType="end"/>
                          </w:r>
                          <w:r>
                            <w:rPr>
                              <w:rFonts w:ascii="Times New Roman" w:hAnsi="Times New Roman"/>
                              <w:spacing w:val="-4"/>
                              <w:sz w:val="28"/>
                            </w:rPr>
                            <w:t xml:space="preserve"> </w:t>
                          </w:r>
                          <w:r>
                            <w:rPr>
                              <w:rFonts w:ascii="Times New Roman" w:hAnsi="Times New Roman"/>
                              <w:spacing w:val="-10"/>
                              <w:sz w:val="28"/>
                            </w:rPr>
                            <w:t>—</w:t>
                          </w:r>
                        </w:p>
                      </w:txbxContent>
                    </wps:txbx>
                    <wps:bodyPr wrap="square" lIns="0" tIns="0" rIns="0" bIns="0" rtlCol="0">
                      <a:noAutofit/>
                    </wps:bodyPr>
                  </wps:wsp>
                </a:graphicData>
              </a:graphic>
            </wp:anchor>
          </w:drawing>
        </mc:Choice>
        <mc:Fallback>
          <w:pict>
            <v:shape id="Textbox 6" o:spid="_x0000_s1026" o:spt="202" type="#_x0000_t202" style="position:absolute;left:0pt;margin-left:84.05pt;margin-top:767.95pt;height:17.5pt;width:50.95pt;mso-position-horizontal-relative:page;mso-position-vertical-relative:page;z-index:-251655168;mso-width-relative:page;mso-height-relative:page;" filled="f" stroked="f" coordsize="21600,21600" o:gfxdata="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jmpErbAAAADQEAAA8AAAAAAAAAAQAgAAAAIgAAAGRycy9kb3ducmV2LnhtbFBLAQIUABQAAAAI&#10;AIdO4kDXZNXHsQEAAHMDAAAOAAAAAAAAAAEAIAAAACoBAABkcnMvZTJvRG9jLnhtbFBLBQYAAAAA&#10;BgAGAFkBAABNBQAAAAA=&#10;">
              <v:fill on="f" focussize="0,0"/>
              <v:stroke on="f"/>
              <v:imagedata o:title=""/>
              <o:lock v:ext="edit" aspectratio="f"/>
              <v:textbox inset="0mm,0mm,0mm,0mm">
                <w:txbxContent>
                  <w:p w14:paraId="444FF102">
                    <w:pPr>
                      <w:spacing w:before="7"/>
                      <w:ind w:left="20"/>
                      <w:rPr>
                        <w:rFonts w:ascii="Times New Roman" w:hAnsi="Times New Roman"/>
                        <w:sz w:val="28"/>
                      </w:rPr>
                    </w:pPr>
                    <w:r>
                      <w:rPr>
                        <w:rFonts w:ascii="Times New Roman" w:hAnsi="Times New Roman"/>
                        <w:sz w:val="28"/>
                      </w:rPr>
                      <w:t>—</w:t>
                    </w:r>
                    <w:r>
                      <w:rPr>
                        <w:rFonts w:ascii="Times New Roman" w:hAnsi="Times New Roman"/>
                        <w:spacing w:val="-4"/>
                        <w:sz w:val="28"/>
                      </w:rPr>
                      <w:t xml:space="preserve"> </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22</w:t>
                    </w:r>
                    <w:r>
                      <w:rPr>
                        <w:rFonts w:ascii="Times New Roman" w:hAnsi="Times New Roman"/>
                        <w:sz w:val="28"/>
                      </w:rPr>
                      <w:fldChar w:fldCharType="end"/>
                    </w:r>
                    <w:r>
                      <w:rPr>
                        <w:rFonts w:ascii="Times New Roman" w:hAnsi="Times New Roman"/>
                        <w:spacing w:val="-4"/>
                        <w:sz w:val="28"/>
                      </w:rPr>
                      <w:t xml:space="preserve"> </w:t>
                    </w:r>
                    <w:r>
                      <w:rPr>
                        <w:rFonts w:ascii="Times New Roman" w:hAnsi="Times New Roman"/>
                        <w:spacing w:val="-10"/>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E2CE0">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6F068">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BF6"/>
    <w:rsid w:val="00000580"/>
    <w:rsid w:val="0000328D"/>
    <w:rsid w:val="000039DF"/>
    <w:rsid w:val="00003E7A"/>
    <w:rsid w:val="00006F93"/>
    <w:rsid w:val="00010F11"/>
    <w:rsid w:val="00012B99"/>
    <w:rsid w:val="00013764"/>
    <w:rsid w:val="00015B97"/>
    <w:rsid w:val="00032518"/>
    <w:rsid w:val="00033D0A"/>
    <w:rsid w:val="00037382"/>
    <w:rsid w:val="00040F5F"/>
    <w:rsid w:val="000417B9"/>
    <w:rsid w:val="00044158"/>
    <w:rsid w:val="00044D42"/>
    <w:rsid w:val="0004764C"/>
    <w:rsid w:val="000529D5"/>
    <w:rsid w:val="000569E4"/>
    <w:rsid w:val="00061015"/>
    <w:rsid w:val="00062999"/>
    <w:rsid w:val="00063917"/>
    <w:rsid w:val="00065025"/>
    <w:rsid w:val="0006781E"/>
    <w:rsid w:val="00067C2D"/>
    <w:rsid w:val="00070196"/>
    <w:rsid w:val="00080FFF"/>
    <w:rsid w:val="00083FA8"/>
    <w:rsid w:val="00085B1D"/>
    <w:rsid w:val="00085BC6"/>
    <w:rsid w:val="000A38C6"/>
    <w:rsid w:val="000A4000"/>
    <w:rsid w:val="000B0510"/>
    <w:rsid w:val="000B413A"/>
    <w:rsid w:val="000C3DCD"/>
    <w:rsid w:val="000C60F4"/>
    <w:rsid w:val="000D3E64"/>
    <w:rsid w:val="000E59F9"/>
    <w:rsid w:val="000E6B6C"/>
    <w:rsid w:val="000F1896"/>
    <w:rsid w:val="000F1AD8"/>
    <w:rsid w:val="00100393"/>
    <w:rsid w:val="001004F9"/>
    <w:rsid w:val="00102A3E"/>
    <w:rsid w:val="0010378F"/>
    <w:rsid w:val="00125B8D"/>
    <w:rsid w:val="00130080"/>
    <w:rsid w:val="001345AA"/>
    <w:rsid w:val="001357F4"/>
    <w:rsid w:val="001420D4"/>
    <w:rsid w:val="001452AE"/>
    <w:rsid w:val="00146C60"/>
    <w:rsid w:val="00147ADB"/>
    <w:rsid w:val="001500E5"/>
    <w:rsid w:val="00150450"/>
    <w:rsid w:val="00154F79"/>
    <w:rsid w:val="00156980"/>
    <w:rsid w:val="001579FD"/>
    <w:rsid w:val="0016173B"/>
    <w:rsid w:val="0017096C"/>
    <w:rsid w:val="00175529"/>
    <w:rsid w:val="00177B59"/>
    <w:rsid w:val="00180532"/>
    <w:rsid w:val="00182126"/>
    <w:rsid w:val="00182E3B"/>
    <w:rsid w:val="00184D0B"/>
    <w:rsid w:val="00193A7B"/>
    <w:rsid w:val="00194EFC"/>
    <w:rsid w:val="00197260"/>
    <w:rsid w:val="001A0FDD"/>
    <w:rsid w:val="001A1D9C"/>
    <w:rsid w:val="001A5885"/>
    <w:rsid w:val="001B1E49"/>
    <w:rsid w:val="001B5E01"/>
    <w:rsid w:val="001B6E87"/>
    <w:rsid w:val="001B7342"/>
    <w:rsid w:val="001B7A5F"/>
    <w:rsid w:val="001C31E1"/>
    <w:rsid w:val="001C5C70"/>
    <w:rsid w:val="001C634F"/>
    <w:rsid w:val="001D6A8A"/>
    <w:rsid w:val="001F1097"/>
    <w:rsid w:val="001F1DD2"/>
    <w:rsid w:val="00201A6B"/>
    <w:rsid w:val="00210069"/>
    <w:rsid w:val="0021034E"/>
    <w:rsid w:val="00211011"/>
    <w:rsid w:val="00213BC7"/>
    <w:rsid w:val="002174A4"/>
    <w:rsid w:val="00220931"/>
    <w:rsid w:val="002249F0"/>
    <w:rsid w:val="00226631"/>
    <w:rsid w:val="00226D2F"/>
    <w:rsid w:val="0022729B"/>
    <w:rsid w:val="002317EE"/>
    <w:rsid w:val="002415D5"/>
    <w:rsid w:val="00242030"/>
    <w:rsid w:val="0024268E"/>
    <w:rsid w:val="002454F9"/>
    <w:rsid w:val="00246393"/>
    <w:rsid w:val="00250420"/>
    <w:rsid w:val="002569E7"/>
    <w:rsid w:val="00265E49"/>
    <w:rsid w:val="00267733"/>
    <w:rsid w:val="00271BA4"/>
    <w:rsid w:val="00273F37"/>
    <w:rsid w:val="00275B57"/>
    <w:rsid w:val="0027714E"/>
    <w:rsid w:val="002802B1"/>
    <w:rsid w:val="0028360C"/>
    <w:rsid w:val="002858C1"/>
    <w:rsid w:val="002875F4"/>
    <w:rsid w:val="002906B5"/>
    <w:rsid w:val="002926D7"/>
    <w:rsid w:val="002979C7"/>
    <w:rsid w:val="00297D49"/>
    <w:rsid w:val="002A235B"/>
    <w:rsid w:val="002A3EF6"/>
    <w:rsid w:val="002A5919"/>
    <w:rsid w:val="002B078B"/>
    <w:rsid w:val="002B1E1D"/>
    <w:rsid w:val="002B51AE"/>
    <w:rsid w:val="002B5A7D"/>
    <w:rsid w:val="002B7445"/>
    <w:rsid w:val="002C1B0F"/>
    <w:rsid w:val="002D4F37"/>
    <w:rsid w:val="002D5ED1"/>
    <w:rsid w:val="002E067E"/>
    <w:rsid w:val="002E20A3"/>
    <w:rsid w:val="002E2347"/>
    <w:rsid w:val="002E2660"/>
    <w:rsid w:val="002E272E"/>
    <w:rsid w:val="002E5BE5"/>
    <w:rsid w:val="002E6B1E"/>
    <w:rsid w:val="002E7406"/>
    <w:rsid w:val="002F35AC"/>
    <w:rsid w:val="002F7A88"/>
    <w:rsid w:val="00300DA8"/>
    <w:rsid w:val="00304B73"/>
    <w:rsid w:val="003065C8"/>
    <w:rsid w:val="00307790"/>
    <w:rsid w:val="0030794E"/>
    <w:rsid w:val="00312293"/>
    <w:rsid w:val="00312B2A"/>
    <w:rsid w:val="00314942"/>
    <w:rsid w:val="00314CD2"/>
    <w:rsid w:val="003222BD"/>
    <w:rsid w:val="00323A93"/>
    <w:rsid w:val="00323F0F"/>
    <w:rsid w:val="00327A35"/>
    <w:rsid w:val="00327DD4"/>
    <w:rsid w:val="00336F82"/>
    <w:rsid w:val="00346443"/>
    <w:rsid w:val="003533B5"/>
    <w:rsid w:val="00354233"/>
    <w:rsid w:val="003550D5"/>
    <w:rsid w:val="00356D19"/>
    <w:rsid w:val="00361E3A"/>
    <w:rsid w:val="00367B47"/>
    <w:rsid w:val="003743F7"/>
    <w:rsid w:val="0038068D"/>
    <w:rsid w:val="00385076"/>
    <w:rsid w:val="00385ED1"/>
    <w:rsid w:val="00395854"/>
    <w:rsid w:val="0039784D"/>
    <w:rsid w:val="00397F52"/>
    <w:rsid w:val="003A40DF"/>
    <w:rsid w:val="003A67B7"/>
    <w:rsid w:val="003B10D8"/>
    <w:rsid w:val="003B444B"/>
    <w:rsid w:val="003B4534"/>
    <w:rsid w:val="003B5548"/>
    <w:rsid w:val="003B5BC5"/>
    <w:rsid w:val="003B63DE"/>
    <w:rsid w:val="003C2AFF"/>
    <w:rsid w:val="003C4009"/>
    <w:rsid w:val="003C6861"/>
    <w:rsid w:val="003C7870"/>
    <w:rsid w:val="003D1886"/>
    <w:rsid w:val="003E20C1"/>
    <w:rsid w:val="003E4821"/>
    <w:rsid w:val="003E558F"/>
    <w:rsid w:val="003F40DA"/>
    <w:rsid w:val="0040088A"/>
    <w:rsid w:val="00400D8A"/>
    <w:rsid w:val="00401006"/>
    <w:rsid w:val="00411FE3"/>
    <w:rsid w:val="0041374B"/>
    <w:rsid w:val="004167A7"/>
    <w:rsid w:val="00421DFB"/>
    <w:rsid w:val="00427BED"/>
    <w:rsid w:val="00430353"/>
    <w:rsid w:val="00430F23"/>
    <w:rsid w:val="00445DC7"/>
    <w:rsid w:val="004465FF"/>
    <w:rsid w:val="004502D9"/>
    <w:rsid w:val="004533B0"/>
    <w:rsid w:val="004545A6"/>
    <w:rsid w:val="00457141"/>
    <w:rsid w:val="0046338A"/>
    <w:rsid w:val="00476CFF"/>
    <w:rsid w:val="004829D8"/>
    <w:rsid w:val="004844B6"/>
    <w:rsid w:val="00485052"/>
    <w:rsid w:val="004A235C"/>
    <w:rsid w:val="004A2C05"/>
    <w:rsid w:val="004A432D"/>
    <w:rsid w:val="004B3272"/>
    <w:rsid w:val="004B4B81"/>
    <w:rsid w:val="004B5402"/>
    <w:rsid w:val="004C344E"/>
    <w:rsid w:val="004C3C91"/>
    <w:rsid w:val="004C58C2"/>
    <w:rsid w:val="004D035C"/>
    <w:rsid w:val="004D2DAC"/>
    <w:rsid w:val="004E1316"/>
    <w:rsid w:val="004E1F4B"/>
    <w:rsid w:val="004E3004"/>
    <w:rsid w:val="004E31E7"/>
    <w:rsid w:val="004F20C5"/>
    <w:rsid w:val="004F6800"/>
    <w:rsid w:val="0050415A"/>
    <w:rsid w:val="00505511"/>
    <w:rsid w:val="00506FDA"/>
    <w:rsid w:val="00514A4F"/>
    <w:rsid w:val="00520915"/>
    <w:rsid w:val="00521908"/>
    <w:rsid w:val="00523908"/>
    <w:rsid w:val="005261E7"/>
    <w:rsid w:val="0053461A"/>
    <w:rsid w:val="00537075"/>
    <w:rsid w:val="00543D73"/>
    <w:rsid w:val="005525FB"/>
    <w:rsid w:val="00557D3C"/>
    <w:rsid w:val="005614B7"/>
    <w:rsid w:val="0058345D"/>
    <w:rsid w:val="005857A2"/>
    <w:rsid w:val="00585B9E"/>
    <w:rsid w:val="0059741C"/>
    <w:rsid w:val="005A1195"/>
    <w:rsid w:val="005A3332"/>
    <w:rsid w:val="005A3A3C"/>
    <w:rsid w:val="005A4D27"/>
    <w:rsid w:val="005A5FCA"/>
    <w:rsid w:val="005B2450"/>
    <w:rsid w:val="005D4B45"/>
    <w:rsid w:val="005E1B83"/>
    <w:rsid w:val="005F083E"/>
    <w:rsid w:val="005F121A"/>
    <w:rsid w:val="005F1462"/>
    <w:rsid w:val="005F2790"/>
    <w:rsid w:val="005F3464"/>
    <w:rsid w:val="005F3C11"/>
    <w:rsid w:val="006036F4"/>
    <w:rsid w:val="00605881"/>
    <w:rsid w:val="00605FA7"/>
    <w:rsid w:val="00610776"/>
    <w:rsid w:val="00615ECF"/>
    <w:rsid w:val="0061747A"/>
    <w:rsid w:val="00632D8A"/>
    <w:rsid w:val="006404D2"/>
    <w:rsid w:val="00646E84"/>
    <w:rsid w:val="0065629A"/>
    <w:rsid w:val="00662098"/>
    <w:rsid w:val="00663E10"/>
    <w:rsid w:val="00670B6D"/>
    <w:rsid w:val="00671203"/>
    <w:rsid w:val="00676C1C"/>
    <w:rsid w:val="00682D07"/>
    <w:rsid w:val="00686C9E"/>
    <w:rsid w:val="0069233E"/>
    <w:rsid w:val="00696AB5"/>
    <w:rsid w:val="006A5299"/>
    <w:rsid w:val="006A7CE6"/>
    <w:rsid w:val="006B6C85"/>
    <w:rsid w:val="006C1FB3"/>
    <w:rsid w:val="006C4A55"/>
    <w:rsid w:val="006C5834"/>
    <w:rsid w:val="006C7300"/>
    <w:rsid w:val="006D60A6"/>
    <w:rsid w:val="006D7A33"/>
    <w:rsid w:val="006E0FD9"/>
    <w:rsid w:val="006E4A03"/>
    <w:rsid w:val="006E57C1"/>
    <w:rsid w:val="006E6747"/>
    <w:rsid w:val="006F0DED"/>
    <w:rsid w:val="006F2A93"/>
    <w:rsid w:val="006F5571"/>
    <w:rsid w:val="006F5B5B"/>
    <w:rsid w:val="00701359"/>
    <w:rsid w:val="00702206"/>
    <w:rsid w:val="00705A67"/>
    <w:rsid w:val="00714CAF"/>
    <w:rsid w:val="00721A7C"/>
    <w:rsid w:val="007263D6"/>
    <w:rsid w:val="00726541"/>
    <w:rsid w:val="0073221F"/>
    <w:rsid w:val="00745573"/>
    <w:rsid w:val="00747D88"/>
    <w:rsid w:val="00750EA4"/>
    <w:rsid w:val="007573D3"/>
    <w:rsid w:val="0075790B"/>
    <w:rsid w:val="00763E13"/>
    <w:rsid w:val="00770865"/>
    <w:rsid w:val="007748D9"/>
    <w:rsid w:val="007750A1"/>
    <w:rsid w:val="00775947"/>
    <w:rsid w:val="00781E27"/>
    <w:rsid w:val="0078536A"/>
    <w:rsid w:val="00786B6A"/>
    <w:rsid w:val="0078740B"/>
    <w:rsid w:val="007A1335"/>
    <w:rsid w:val="007A1650"/>
    <w:rsid w:val="007A3964"/>
    <w:rsid w:val="007A4C97"/>
    <w:rsid w:val="007B055A"/>
    <w:rsid w:val="007B12D4"/>
    <w:rsid w:val="007B2E8C"/>
    <w:rsid w:val="007B40CD"/>
    <w:rsid w:val="007B6FF1"/>
    <w:rsid w:val="007C099B"/>
    <w:rsid w:val="007C6367"/>
    <w:rsid w:val="007D1401"/>
    <w:rsid w:val="007D6B3C"/>
    <w:rsid w:val="007E2BA2"/>
    <w:rsid w:val="007E2FBE"/>
    <w:rsid w:val="007E5B0C"/>
    <w:rsid w:val="007F17A9"/>
    <w:rsid w:val="0080089E"/>
    <w:rsid w:val="00802B29"/>
    <w:rsid w:val="0081001E"/>
    <w:rsid w:val="00817D84"/>
    <w:rsid w:val="00821320"/>
    <w:rsid w:val="00832121"/>
    <w:rsid w:val="008341E1"/>
    <w:rsid w:val="008360CF"/>
    <w:rsid w:val="00842D88"/>
    <w:rsid w:val="00842F8B"/>
    <w:rsid w:val="00843A18"/>
    <w:rsid w:val="00847BCF"/>
    <w:rsid w:val="00863D3E"/>
    <w:rsid w:val="008731C8"/>
    <w:rsid w:val="00876DCD"/>
    <w:rsid w:val="00877215"/>
    <w:rsid w:val="008839E8"/>
    <w:rsid w:val="00884CA3"/>
    <w:rsid w:val="00890E3F"/>
    <w:rsid w:val="00893F8A"/>
    <w:rsid w:val="00894837"/>
    <w:rsid w:val="008A135A"/>
    <w:rsid w:val="008A3984"/>
    <w:rsid w:val="008A71CA"/>
    <w:rsid w:val="008B1711"/>
    <w:rsid w:val="008C0A83"/>
    <w:rsid w:val="008C79B8"/>
    <w:rsid w:val="008D6837"/>
    <w:rsid w:val="008E0EB1"/>
    <w:rsid w:val="008E614A"/>
    <w:rsid w:val="008E66A3"/>
    <w:rsid w:val="008E6AEF"/>
    <w:rsid w:val="008E79C9"/>
    <w:rsid w:val="008F0D8F"/>
    <w:rsid w:val="008F328E"/>
    <w:rsid w:val="008F71EC"/>
    <w:rsid w:val="008F78BF"/>
    <w:rsid w:val="00901C22"/>
    <w:rsid w:val="0090245F"/>
    <w:rsid w:val="009030C2"/>
    <w:rsid w:val="0090335C"/>
    <w:rsid w:val="00907C23"/>
    <w:rsid w:val="009115E1"/>
    <w:rsid w:val="009161D1"/>
    <w:rsid w:val="00917D9D"/>
    <w:rsid w:val="00921E35"/>
    <w:rsid w:val="00924468"/>
    <w:rsid w:val="0092745A"/>
    <w:rsid w:val="0093261A"/>
    <w:rsid w:val="009417D6"/>
    <w:rsid w:val="00942906"/>
    <w:rsid w:val="009458FA"/>
    <w:rsid w:val="00945C75"/>
    <w:rsid w:val="00961362"/>
    <w:rsid w:val="00973374"/>
    <w:rsid w:val="00980A1B"/>
    <w:rsid w:val="0098559A"/>
    <w:rsid w:val="0098578E"/>
    <w:rsid w:val="00990AD3"/>
    <w:rsid w:val="00990B8A"/>
    <w:rsid w:val="00992F20"/>
    <w:rsid w:val="009A1567"/>
    <w:rsid w:val="009A62F6"/>
    <w:rsid w:val="009C4414"/>
    <w:rsid w:val="009C7FA4"/>
    <w:rsid w:val="009D444D"/>
    <w:rsid w:val="009D74E5"/>
    <w:rsid w:val="009E3638"/>
    <w:rsid w:val="009F4887"/>
    <w:rsid w:val="00A01584"/>
    <w:rsid w:val="00A0449B"/>
    <w:rsid w:val="00A052A3"/>
    <w:rsid w:val="00A05664"/>
    <w:rsid w:val="00A0585A"/>
    <w:rsid w:val="00A05CE1"/>
    <w:rsid w:val="00A102BC"/>
    <w:rsid w:val="00A1656D"/>
    <w:rsid w:val="00A20E99"/>
    <w:rsid w:val="00A30912"/>
    <w:rsid w:val="00A310DD"/>
    <w:rsid w:val="00A3300F"/>
    <w:rsid w:val="00A33A06"/>
    <w:rsid w:val="00A34A35"/>
    <w:rsid w:val="00A3528B"/>
    <w:rsid w:val="00A36DD7"/>
    <w:rsid w:val="00A37E2C"/>
    <w:rsid w:val="00A4361C"/>
    <w:rsid w:val="00A5491B"/>
    <w:rsid w:val="00A55195"/>
    <w:rsid w:val="00A57302"/>
    <w:rsid w:val="00A57A7F"/>
    <w:rsid w:val="00A60150"/>
    <w:rsid w:val="00A60D1F"/>
    <w:rsid w:val="00A76F65"/>
    <w:rsid w:val="00A85B7A"/>
    <w:rsid w:val="00A86690"/>
    <w:rsid w:val="00A91B73"/>
    <w:rsid w:val="00A92228"/>
    <w:rsid w:val="00A94931"/>
    <w:rsid w:val="00A95D1B"/>
    <w:rsid w:val="00A971B7"/>
    <w:rsid w:val="00AA24AB"/>
    <w:rsid w:val="00AB3427"/>
    <w:rsid w:val="00AC23EA"/>
    <w:rsid w:val="00AC4A66"/>
    <w:rsid w:val="00AC51BE"/>
    <w:rsid w:val="00AD1854"/>
    <w:rsid w:val="00AD4437"/>
    <w:rsid w:val="00AD4BF6"/>
    <w:rsid w:val="00AD5B5A"/>
    <w:rsid w:val="00AE2ACF"/>
    <w:rsid w:val="00AE760B"/>
    <w:rsid w:val="00AE7C48"/>
    <w:rsid w:val="00AF16E8"/>
    <w:rsid w:val="00AF2F3F"/>
    <w:rsid w:val="00AF432F"/>
    <w:rsid w:val="00AF474C"/>
    <w:rsid w:val="00B03CF8"/>
    <w:rsid w:val="00B1008A"/>
    <w:rsid w:val="00B11AFD"/>
    <w:rsid w:val="00B1784E"/>
    <w:rsid w:val="00B21640"/>
    <w:rsid w:val="00B241AF"/>
    <w:rsid w:val="00B267E8"/>
    <w:rsid w:val="00B27881"/>
    <w:rsid w:val="00B33D1C"/>
    <w:rsid w:val="00B34B26"/>
    <w:rsid w:val="00B3608F"/>
    <w:rsid w:val="00B37BF8"/>
    <w:rsid w:val="00B406A1"/>
    <w:rsid w:val="00B47A7A"/>
    <w:rsid w:val="00B51F67"/>
    <w:rsid w:val="00B5624A"/>
    <w:rsid w:val="00B60637"/>
    <w:rsid w:val="00B606F2"/>
    <w:rsid w:val="00B666DE"/>
    <w:rsid w:val="00B678A3"/>
    <w:rsid w:val="00B76042"/>
    <w:rsid w:val="00B77689"/>
    <w:rsid w:val="00B77794"/>
    <w:rsid w:val="00B8136A"/>
    <w:rsid w:val="00B823AD"/>
    <w:rsid w:val="00B829E7"/>
    <w:rsid w:val="00B832CC"/>
    <w:rsid w:val="00B834BE"/>
    <w:rsid w:val="00B8372E"/>
    <w:rsid w:val="00B842C5"/>
    <w:rsid w:val="00B90FCC"/>
    <w:rsid w:val="00BA0292"/>
    <w:rsid w:val="00BA3538"/>
    <w:rsid w:val="00BA7E4F"/>
    <w:rsid w:val="00BB3568"/>
    <w:rsid w:val="00BB36A3"/>
    <w:rsid w:val="00BB67C6"/>
    <w:rsid w:val="00BD00D3"/>
    <w:rsid w:val="00BD20B1"/>
    <w:rsid w:val="00BD4170"/>
    <w:rsid w:val="00BD4B10"/>
    <w:rsid w:val="00BD4D93"/>
    <w:rsid w:val="00BE1A7E"/>
    <w:rsid w:val="00BE5185"/>
    <w:rsid w:val="00BF3B67"/>
    <w:rsid w:val="00BF43B1"/>
    <w:rsid w:val="00BF4FD1"/>
    <w:rsid w:val="00BF5B55"/>
    <w:rsid w:val="00C02B45"/>
    <w:rsid w:val="00C048E0"/>
    <w:rsid w:val="00C10094"/>
    <w:rsid w:val="00C117FC"/>
    <w:rsid w:val="00C1738B"/>
    <w:rsid w:val="00C20800"/>
    <w:rsid w:val="00C21A61"/>
    <w:rsid w:val="00C21D4A"/>
    <w:rsid w:val="00C27BD1"/>
    <w:rsid w:val="00C30272"/>
    <w:rsid w:val="00C47C59"/>
    <w:rsid w:val="00C557C7"/>
    <w:rsid w:val="00C57D3E"/>
    <w:rsid w:val="00C61CE9"/>
    <w:rsid w:val="00C64919"/>
    <w:rsid w:val="00C7294B"/>
    <w:rsid w:val="00C83688"/>
    <w:rsid w:val="00C908E2"/>
    <w:rsid w:val="00CA02CD"/>
    <w:rsid w:val="00CA5712"/>
    <w:rsid w:val="00CA69D7"/>
    <w:rsid w:val="00CB0053"/>
    <w:rsid w:val="00CB424D"/>
    <w:rsid w:val="00CB4D02"/>
    <w:rsid w:val="00CB7873"/>
    <w:rsid w:val="00CC0A5D"/>
    <w:rsid w:val="00CC4782"/>
    <w:rsid w:val="00CC5EE0"/>
    <w:rsid w:val="00CC6589"/>
    <w:rsid w:val="00CC6EF8"/>
    <w:rsid w:val="00CD1B27"/>
    <w:rsid w:val="00CD1BE3"/>
    <w:rsid w:val="00CD7C64"/>
    <w:rsid w:val="00CE02BA"/>
    <w:rsid w:val="00CE1B4A"/>
    <w:rsid w:val="00CE3A88"/>
    <w:rsid w:val="00CF096B"/>
    <w:rsid w:val="00D02631"/>
    <w:rsid w:val="00D07411"/>
    <w:rsid w:val="00D11C6F"/>
    <w:rsid w:val="00D15D26"/>
    <w:rsid w:val="00D24D43"/>
    <w:rsid w:val="00D32689"/>
    <w:rsid w:val="00D34D81"/>
    <w:rsid w:val="00D370A3"/>
    <w:rsid w:val="00D41815"/>
    <w:rsid w:val="00D46A47"/>
    <w:rsid w:val="00D51619"/>
    <w:rsid w:val="00D522A6"/>
    <w:rsid w:val="00D550ED"/>
    <w:rsid w:val="00D5547F"/>
    <w:rsid w:val="00D57277"/>
    <w:rsid w:val="00D61755"/>
    <w:rsid w:val="00D620AA"/>
    <w:rsid w:val="00D76238"/>
    <w:rsid w:val="00D76ADF"/>
    <w:rsid w:val="00D777B9"/>
    <w:rsid w:val="00D856AF"/>
    <w:rsid w:val="00D94B9E"/>
    <w:rsid w:val="00D953D3"/>
    <w:rsid w:val="00D9542B"/>
    <w:rsid w:val="00D96A81"/>
    <w:rsid w:val="00D97ACF"/>
    <w:rsid w:val="00DA169E"/>
    <w:rsid w:val="00DA486B"/>
    <w:rsid w:val="00DB2734"/>
    <w:rsid w:val="00DB3007"/>
    <w:rsid w:val="00DB480D"/>
    <w:rsid w:val="00DB533F"/>
    <w:rsid w:val="00DC5441"/>
    <w:rsid w:val="00DC6DB3"/>
    <w:rsid w:val="00DD165F"/>
    <w:rsid w:val="00DE323C"/>
    <w:rsid w:val="00DF3AD0"/>
    <w:rsid w:val="00DF4F27"/>
    <w:rsid w:val="00DF4FC9"/>
    <w:rsid w:val="00DF70C0"/>
    <w:rsid w:val="00E00C1C"/>
    <w:rsid w:val="00E01B04"/>
    <w:rsid w:val="00E03165"/>
    <w:rsid w:val="00E07054"/>
    <w:rsid w:val="00E077F4"/>
    <w:rsid w:val="00E07805"/>
    <w:rsid w:val="00E125D8"/>
    <w:rsid w:val="00E17626"/>
    <w:rsid w:val="00E17B37"/>
    <w:rsid w:val="00E210B5"/>
    <w:rsid w:val="00E21F0B"/>
    <w:rsid w:val="00E273C5"/>
    <w:rsid w:val="00E32432"/>
    <w:rsid w:val="00E328F6"/>
    <w:rsid w:val="00E34CDB"/>
    <w:rsid w:val="00E43C7D"/>
    <w:rsid w:val="00E4437F"/>
    <w:rsid w:val="00E47B3E"/>
    <w:rsid w:val="00E52456"/>
    <w:rsid w:val="00E53076"/>
    <w:rsid w:val="00E563EF"/>
    <w:rsid w:val="00E60184"/>
    <w:rsid w:val="00E60C0A"/>
    <w:rsid w:val="00E61126"/>
    <w:rsid w:val="00E65483"/>
    <w:rsid w:val="00E73976"/>
    <w:rsid w:val="00E73EF0"/>
    <w:rsid w:val="00E8166C"/>
    <w:rsid w:val="00E8547B"/>
    <w:rsid w:val="00E93F77"/>
    <w:rsid w:val="00EA1DE4"/>
    <w:rsid w:val="00EA263E"/>
    <w:rsid w:val="00EC0745"/>
    <w:rsid w:val="00ED18C4"/>
    <w:rsid w:val="00ED3F5C"/>
    <w:rsid w:val="00ED43FC"/>
    <w:rsid w:val="00ED4E6B"/>
    <w:rsid w:val="00EE136D"/>
    <w:rsid w:val="00EE29A0"/>
    <w:rsid w:val="00EE560C"/>
    <w:rsid w:val="00EE6A3E"/>
    <w:rsid w:val="00EF4798"/>
    <w:rsid w:val="00F0102F"/>
    <w:rsid w:val="00F03DB1"/>
    <w:rsid w:val="00F106CD"/>
    <w:rsid w:val="00F10A2C"/>
    <w:rsid w:val="00F1163A"/>
    <w:rsid w:val="00F11CBC"/>
    <w:rsid w:val="00F13FEC"/>
    <w:rsid w:val="00F2645E"/>
    <w:rsid w:val="00F314E6"/>
    <w:rsid w:val="00F322EF"/>
    <w:rsid w:val="00F32B58"/>
    <w:rsid w:val="00F33A64"/>
    <w:rsid w:val="00F37CB3"/>
    <w:rsid w:val="00F44821"/>
    <w:rsid w:val="00F467F4"/>
    <w:rsid w:val="00F52F12"/>
    <w:rsid w:val="00F54F8E"/>
    <w:rsid w:val="00F70A3A"/>
    <w:rsid w:val="00F71B00"/>
    <w:rsid w:val="00F77CEE"/>
    <w:rsid w:val="00F825A9"/>
    <w:rsid w:val="00F83D60"/>
    <w:rsid w:val="00F83D9A"/>
    <w:rsid w:val="00F84976"/>
    <w:rsid w:val="00F867F3"/>
    <w:rsid w:val="00F934BA"/>
    <w:rsid w:val="00F96DB1"/>
    <w:rsid w:val="00FA0AF1"/>
    <w:rsid w:val="00FA0E51"/>
    <w:rsid w:val="00FA1E3D"/>
    <w:rsid w:val="00FA5086"/>
    <w:rsid w:val="00FA586F"/>
    <w:rsid w:val="00FB5EFD"/>
    <w:rsid w:val="00FC0222"/>
    <w:rsid w:val="00FC4B92"/>
    <w:rsid w:val="00FC769D"/>
    <w:rsid w:val="00FD2BB8"/>
    <w:rsid w:val="00FD3E41"/>
    <w:rsid w:val="00FD463A"/>
    <w:rsid w:val="00FE682C"/>
    <w:rsid w:val="00FF5FD3"/>
    <w:rsid w:val="00FF616C"/>
    <w:rsid w:val="01D32DCE"/>
    <w:rsid w:val="03AE6011"/>
    <w:rsid w:val="04133956"/>
    <w:rsid w:val="049525BD"/>
    <w:rsid w:val="049F3623"/>
    <w:rsid w:val="064A1761"/>
    <w:rsid w:val="07341CF9"/>
    <w:rsid w:val="07843B73"/>
    <w:rsid w:val="08ED6E6B"/>
    <w:rsid w:val="090F6C8C"/>
    <w:rsid w:val="0A905466"/>
    <w:rsid w:val="0AE2394C"/>
    <w:rsid w:val="0B0C55A3"/>
    <w:rsid w:val="0B5F1B77"/>
    <w:rsid w:val="0CE04884"/>
    <w:rsid w:val="0DAD4E1B"/>
    <w:rsid w:val="0E372937"/>
    <w:rsid w:val="0E6D53FB"/>
    <w:rsid w:val="0F0C5B71"/>
    <w:rsid w:val="0F607C6B"/>
    <w:rsid w:val="117E4D5A"/>
    <w:rsid w:val="125D11F1"/>
    <w:rsid w:val="12B96010"/>
    <w:rsid w:val="12E7492B"/>
    <w:rsid w:val="1456063D"/>
    <w:rsid w:val="14DB226E"/>
    <w:rsid w:val="15B250AE"/>
    <w:rsid w:val="15C26F8A"/>
    <w:rsid w:val="164107F7"/>
    <w:rsid w:val="17035AAC"/>
    <w:rsid w:val="17270097"/>
    <w:rsid w:val="174D4F79"/>
    <w:rsid w:val="175812EB"/>
    <w:rsid w:val="18185587"/>
    <w:rsid w:val="181D0DEF"/>
    <w:rsid w:val="18786026"/>
    <w:rsid w:val="18AC5CCF"/>
    <w:rsid w:val="1A016E2F"/>
    <w:rsid w:val="1A267166"/>
    <w:rsid w:val="1A584361"/>
    <w:rsid w:val="1B0D4C89"/>
    <w:rsid w:val="1B1464DA"/>
    <w:rsid w:val="1BE37C5A"/>
    <w:rsid w:val="1C4A7CD9"/>
    <w:rsid w:val="1C8B28F4"/>
    <w:rsid w:val="1CC21F65"/>
    <w:rsid w:val="1D0D5943"/>
    <w:rsid w:val="1D13456F"/>
    <w:rsid w:val="1D8B67FB"/>
    <w:rsid w:val="1E087E4C"/>
    <w:rsid w:val="1E5310C7"/>
    <w:rsid w:val="1E707ECB"/>
    <w:rsid w:val="1ECF4148"/>
    <w:rsid w:val="1ED8781E"/>
    <w:rsid w:val="1F4153C3"/>
    <w:rsid w:val="1F501AAA"/>
    <w:rsid w:val="210B34F2"/>
    <w:rsid w:val="215E4F0F"/>
    <w:rsid w:val="21DE029D"/>
    <w:rsid w:val="222A213F"/>
    <w:rsid w:val="229D097B"/>
    <w:rsid w:val="233F60BE"/>
    <w:rsid w:val="244337D9"/>
    <w:rsid w:val="24651B54"/>
    <w:rsid w:val="24875581"/>
    <w:rsid w:val="249B54C6"/>
    <w:rsid w:val="25697422"/>
    <w:rsid w:val="25E847EB"/>
    <w:rsid w:val="26BC39D4"/>
    <w:rsid w:val="279B3ADF"/>
    <w:rsid w:val="280B2A12"/>
    <w:rsid w:val="28237D5C"/>
    <w:rsid w:val="288F5AD7"/>
    <w:rsid w:val="2AEA4B61"/>
    <w:rsid w:val="2B08148B"/>
    <w:rsid w:val="2B7D59D5"/>
    <w:rsid w:val="2BA74800"/>
    <w:rsid w:val="2C1C3440"/>
    <w:rsid w:val="2CB76CC5"/>
    <w:rsid w:val="2D636E4D"/>
    <w:rsid w:val="2DA81FD3"/>
    <w:rsid w:val="2DCF44E2"/>
    <w:rsid w:val="2DE97352"/>
    <w:rsid w:val="2E0221C2"/>
    <w:rsid w:val="2EC658E5"/>
    <w:rsid w:val="2F1E0FAA"/>
    <w:rsid w:val="2FE14059"/>
    <w:rsid w:val="303C6DF2"/>
    <w:rsid w:val="304E7940"/>
    <w:rsid w:val="3078008F"/>
    <w:rsid w:val="32082B63"/>
    <w:rsid w:val="32096215"/>
    <w:rsid w:val="32454D73"/>
    <w:rsid w:val="32B31C7D"/>
    <w:rsid w:val="33062754"/>
    <w:rsid w:val="33875EEE"/>
    <w:rsid w:val="33CE3CE5"/>
    <w:rsid w:val="348953EB"/>
    <w:rsid w:val="34BD56FC"/>
    <w:rsid w:val="34BE5659"/>
    <w:rsid w:val="34CF7E9F"/>
    <w:rsid w:val="35284C04"/>
    <w:rsid w:val="358636D8"/>
    <w:rsid w:val="363E3FB3"/>
    <w:rsid w:val="36490214"/>
    <w:rsid w:val="380B6A94"/>
    <w:rsid w:val="382A471B"/>
    <w:rsid w:val="391B5535"/>
    <w:rsid w:val="39BA6795"/>
    <w:rsid w:val="3A7319EF"/>
    <w:rsid w:val="3AC0143A"/>
    <w:rsid w:val="3B7F4E52"/>
    <w:rsid w:val="3B9C6DBC"/>
    <w:rsid w:val="3BAC19BF"/>
    <w:rsid w:val="3C5C33E5"/>
    <w:rsid w:val="3CAD3C40"/>
    <w:rsid w:val="3CD52281"/>
    <w:rsid w:val="3D1B32A0"/>
    <w:rsid w:val="3E111CD2"/>
    <w:rsid w:val="3E84224A"/>
    <w:rsid w:val="3F6820A1"/>
    <w:rsid w:val="40565BA1"/>
    <w:rsid w:val="40A9471F"/>
    <w:rsid w:val="40CA2C90"/>
    <w:rsid w:val="40FB76C7"/>
    <w:rsid w:val="40FD3720"/>
    <w:rsid w:val="41697343"/>
    <w:rsid w:val="41E7440B"/>
    <w:rsid w:val="420B3219"/>
    <w:rsid w:val="42497F67"/>
    <w:rsid w:val="42AB2039"/>
    <w:rsid w:val="43070518"/>
    <w:rsid w:val="44054362"/>
    <w:rsid w:val="45C10D0F"/>
    <w:rsid w:val="45C30031"/>
    <w:rsid w:val="47080EC7"/>
    <w:rsid w:val="48D013E2"/>
    <w:rsid w:val="48F6071D"/>
    <w:rsid w:val="499C7517"/>
    <w:rsid w:val="499F0DB5"/>
    <w:rsid w:val="49D767A1"/>
    <w:rsid w:val="4B5F18B4"/>
    <w:rsid w:val="4C3D778F"/>
    <w:rsid w:val="4D090903"/>
    <w:rsid w:val="4DE9409E"/>
    <w:rsid w:val="4E395334"/>
    <w:rsid w:val="4E536441"/>
    <w:rsid w:val="4EA01070"/>
    <w:rsid w:val="4EEF00E8"/>
    <w:rsid w:val="4EF70D4B"/>
    <w:rsid w:val="4FB8497E"/>
    <w:rsid w:val="4FCE7D2C"/>
    <w:rsid w:val="50746AF7"/>
    <w:rsid w:val="507D4B62"/>
    <w:rsid w:val="50A15412"/>
    <w:rsid w:val="50E33C7D"/>
    <w:rsid w:val="51A5311E"/>
    <w:rsid w:val="52585413"/>
    <w:rsid w:val="543B338B"/>
    <w:rsid w:val="5486329D"/>
    <w:rsid w:val="549C03CB"/>
    <w:rsid w:val="550C37A2"/>
    <w:rsid w:val="55690BF5"/>
    <w:rsid w:val="563F3703"/>
    <w:rsid w:val="56AE2FB3"/>
    <w:rsid w:val="56D976B4"/>
    <w:rsid w:val="57165992"/>
    <w:rsid w:val="57995095"/>
    <w:rsid w:val="57F0103D"/>
    <w:rsid w:val="589A7317"/>
    <w:rsid w:val="58E862D4"/>
    <w:rsid w:val="5A7616BE"/>
    <w:rsid w:val="5A940D98"/>
    <w:rsid w:val="5B252EED"/>
    <w:rsid w:val="5C1271C4"/>
    <w:rsid w:val="5D46181B"/>
    <w:rsid w:val="5DC755C5"/>
    <w:rsid w:val="5E323B4E"/>
    <w:rsid w:val="5E916AC6"/>
    <w:rsid w:val="5F4F39E9"/>
    <w:rsid w:val="5F99243A"/>
    <w:rsid w:val="5FD70E51"/>
    <w:rsid w:val="60563B24"/>
    <w:rsid w:val="60B672FA"/>
    <w:rsid w:val="60BF3DBF"/>
    <w:rsid w:val="61E824DC"/>
    <w:rsid w:val="623C4F9B"/>
    <w:rsid w:val="634B7B8C"/>
    <w:rsid w:val="63627091"/>
    <w:rsid w:val="64AC28AC"/>
    <w:rsid w:val="65960E66"/>
    <w:rsid w:val="660A7896"/>
    <w:rsid w:val="664674C0"/>
    <w:rsid w:val="672E7451"/>
    <w:rsid w:val="677D5E3A"/>
    <w:rsid w:val="68594AF9"/>
    <w:rsid w:val="691C6844"/>
    <w:rsid w:val="69360996"/>
    <w:rsid w:val="69937B96"/>
    <w:rsid w:val="6A1A3E14"/>
    <w:rsid w:val="6A365B21"/>
    <w:rsid w:val="6B9E6FD5"/>
    <w:rsid w:val="6BA41FF0"/>
    <w:rsid w:val="6BC524A5"/>
    <w:rsid w:val="6BCB311E"/>
    <w:rsid w:val="6BD83993"/>
    <w:rsid w:val="6BE72094"/>
    <w:rsid w:val="6C296590"/>
    <w:rsid w:val="6CE508D0"/>
    <w:rsid w:val="6D5C02DF"/>
    <w:rsid w:val="6D9F4E62"/>
    <w:rsid w:val="6E2F04B5"/>
    <w:rsid w:val="6F606BF5"/>
    <w:rsid w:val="6FDC1A2C"/>
    <w:rsid w:val="703674CE"/>
    <w:rsid w:val="70480FAF"/>
    <w:rsid w:val="70B756B4"/>
    <w:rsid w:val="70F058CE"/>
    <w:rsid w:val="711E3936"/>
    <w:rsid w:val="71421E8E"/>
    <w:rsid w:val="719B567C"/>
    <w:rsid w:val="71CD20B4"/>
    <w:rsid w:val="71D02762"/>
    <w:rsid w:val="72007D93"/>
    <w:rsid w:val="72756BE9"/>
    <w:rsid w:val="728F36DB"/>
    <w:rsid w:val="74033B6B"/>
    <w:rsid w:val="74C96B62"/>
    <w:rsid w:val="75662603"/>
    <w:rsid w:val="75AD0232"/>
    <w:rsid w:val="75DF4163"/>
    <w:rsid w:val="76320737"/>
    <w:rsid w:val="76502C83"/>
    <w:rsid w:val="77125E5A"/>
    <w:rsid w:val="786D1EFA"/>
    <w:rsid w:val="793B362A"/>
    <w:rsid w:val="799341D9"/>
    <w:rsid w:val="79BC7D35"/>
    <w:rsid w:val="7A0F14BB"/>
    <w:rsid w:val="7A3507F6"/>
    <w:rsid w:val="7A7009F4"/>
    <w:rsid w:val="7A777060"/>
    <w:rsid w:val="7B7A3A36"/>
    <w:rsid w:val="7BBE518D"/>
    <w:rsid w:val="7C374CF9"/>
    <w:rsid w:val="7CB60F13"/>
    <w:rsid w:val="7DD16A88"/>
    <w:rsid w:val="7E905C93"/>
    <w:rsid w:val="7ED47509"/>
    <w:rsid w:val="7EDB5E10"/>
    <w:rsid w:val="7F144FB2"/>
    <w:rsid w:val="7F8E2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等线" w:hAnsi="等线" w:eastAsia="等线" w:cs="等线"/>
      <w:sz w:val="22"/>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rFonts w:eastAsia="黑体"/>
      <w:b/>
      <w:bCs/>
      <w:kern w:val="44"/>
      <w:sz w:val="30"/>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7"/>
    <w:unhideWhenUsed/>
    <w:qFormat/>
    <w:uiPriority w:val="9"/>
    <w:pPr>
      <w:keepNext/>
      <w:keepLines/>
      <w:spacing w:before="260" w:after="260" w:line="416" w:lineRule="auto"/>
      <w:outlineLvl w:val="2"/>
    </w:pPr>
    <w:rPr>
      <w:rFonts w:eastAsia="仿宋"/>
      <w:b/>
      <w:bCs/>
      <w:sz w:val="28"/>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3"/>
    <w:qFormat/>
    <w:uiPriority w:val="0"/>
    <w:pPr>
      <w:widowControl/>
      <w:kinsoku w:val="0"/>
      <w:adjustRightInd w:val="0"/>
      <w:snapToGrid w:val="0"/>
      <w:textAlignment w:val="baseline"/>
    </w:pPr>
    <w:rPr>
      <w:rFonts w:ascii="Arial" w:hAnsi="Arial" w:eastAsia="Arial" w:cs="Arial"/>
      <w:snapToGrid w:val="0"/>
      <w:color w:val="000000"/>
      <w:sz w:val="21"/>
      <w:szCs w:val="21"/>
      <w:lang w:eastAsia="en-US"/>
    </w:rPr>
  </w:style>
  <w:style w:type="paragraph" w:styleId="6">
    <w:name w:val="Body Text"/>
    <w:basedOn w:val="1"/>
    <w:qFormat/>
    <w:uiPriority w:val="1"/>
    <w:pPr>
      <w:ind w:left="161"/>
    </w:pPr>
    <w:rPr>
      <w:b/>
      <w:bCs/>
      <w:sz w:val="28"/>
      <w:szCs w:val="28"/>
    </w:rPr>
  </w:style>
  <w:style w:type="paragraph" w:styleId="7">
    <w:name w:val="toc 3"/>
    <w:basedOn w:val="1"/>
    <w:next w:val="1"/>
    <w:semiHidden/>
    <w:unhideWhenUsed/>
    <w:qFormat/>
    <w:uiPriority w:val="39"/>
    <w:pPr>
      <w:ind w:left="840" w:leftChars="400"/>
    </w:pPr>
  </w:style>
  <w:style w:type="paragraph" w:styleId="8">
    <w:name w:val="Balloon Text"/>
    <w:basedOn w:val="1"/>
    <w:link w:val="22"/>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pPr>
    <w:rPr>
      <w:sz w:val="18"/>
      <w:szCs w:val="18"/>
    </w:rPr>
  </w:style>
  <w:style w:type="paragraph" w:styleId="10">
    <w:name w:val="header"/>
    <w:basedOn w:val="1"/>
    <w:link w:val="20"/>
    <w:unhideWhenUsed/>
    <w:qFormat/>
    <w:uiPriority w:val="99"/>
    <w:pP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toc 2"/>
    <w:basedOn w:val="1"/>
    <w:next w:val="1"/>
    <w:semiHidden/>
    <w:unhideWhenUsed/>
    <w:qFormat/>
    <w:uiPriority w:val="39"/>
    <w:pPr>
      <w:ind w:left="420" w:leftChars="200"/>
    </w:pPr>
  </w:style>
  <w:style w:type="paragraph" w:styleId="13">
    <w:name w:val="Title"/>
    <w:basedOn w:val="1"/>
    <w:qFormat/>
    <w:uiPriority w:val="10"/>
    <w:pPr>
      <w:ind w:left="107"/>
    </w:pPr>
    <w:rPr>
      <w:rFonts w:ascii="宋体" w:hAnsi="宋体" w:eastAsia="宋体" w:cs="宋体"/>
      <w:sz w:val="59"/>
      <w:szCs w:val="59"/>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Normal"/>
    <w:semiHidden/>
    <w:unhideWhenUsed/>
    <w:qFormat/>
    <w:uiPriority w:val="2"/>
    <w:tblPr>
      <w:tblCellMar>
        <w:top w:w="0" w:type="dxa"/>
        <w:left w:w="0" w:type="dxa"/>
        <w:bottom w:w="0" w:type="dxa"/>
        <w:right w:w="0" w:type="dxa"/>
      </w:tblCellMar>
    </w:tblPr>
  </w:style>
  <w:style w:type="paragraph" w:styleId="18">
    <w:name w:val="List Paragraph"/>
    <w:basedOn w:val="1"/>
    <w:qFormat/>
    <w:uiPriority w:val="1"/>
    <w:pPr>
      <w:ind w:left="1000" w:hanging="359"/>
    </w:pPr>
  </w:style>
  <w:style w:type="paragraph" w:customStyle="1" w:styleId="19">
    <w:name w:val="Table Paragraph"/>
    <w:basedOn w:val="1"/>
    <w:qFormat/>
    <w:uiPriority w:val="1"/>
  </w:style>
  <w:style w:type="character" w:customStyle="1" w:styleId="20">
    <w:name w:val="页眉 字符"/>
    <w:basedOn w:val="16"/>
    <w:link w:val="10"/>
    <w:qFormat/>
    <w:uiPriority w:val="99"/>
    <w:rPr>
      <w:rFonts w:ascii="等线" w:hAnsi="等线" w:eastAsia="等线" w:cs="等线"/>
      <w:sz w:val="18"/>
      <w:szCs w:val="18"/>
      <w:lang w:eastAsia="zh-CN"/>
    </w:rPr>
  </w:style>
  <w:style w:type="character" w:customStyle="1" w:styleId="21">
    <w:name w:val="页脚 字符"/>
    <w:basedOn w:val="16"/>
    <w:link w:val="9"/>
    <w:qFormat/>
    <w:uiPriority w:val="99"/>
    <w:rPr>
      <w:rFonts w:ascii="等线" w:hAnsi="等线" w:eastAsia="等线" w:cs="等线"/>
      <w:sz w:val="18"/>
      <w:szCs w:val="18"/>
      <w:lang w:eastAsia="zh-CN"/>
    </w:rPr>
  </w:style>
  <w:style w:type="character" w:customStyle="1" w:styleId="22">
    <w:name w:val="批注框文本 字符"/>
    <w:basedOn w:val="16"/>
    <w:link w:val="8"/>
    <w:semiHidden/>
    <w:qFormat/>
    <w:uiPriority w:val="99"/>
    <w:rPr>
      <w:rFonts w:ascii="等线" w:hAnsi="等线" w:eastAsia="等线" w:cs="等线"/>
      <w:sz w:val="18"/>
      <w:szCs w:val="18"/>
      <w:lang w:eastAsia="zh-CN"/>
    </w:rPr>
  </w:style>
  <w:style w:type="character" w:customStyle="1" w:styleId="23">
    <w:name w:val="批注文字 字符"/>
    <w:basedOn w:val="16"/>
    <w:link w:val="5"/>
    <w:qFormat/>
    <w:uiPriority w:val="0"/>
    <w:rPr>
      <w:rFonts w:ascii="Arial" w:hAnsi="Arial" w:eastAsia="Arial" w:cs="Arial"/>
      <w:snapToGrid w:val="0"/>
      <w:color w:val="000000"/>
      <w:sz w:val="21"/>
      <w:szCs w:val="21"/>
    </w:rPr>
  </w:style>
  <w:style w:type="paragraph" w:customStyle="1" w:styleId="2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5">
    <w:name w:val="标题 1 字符"/>
    <w:basedOn w:val="16"/>
    <w:link w:val="2"/>
    <w:qFormat/>
    <w:uiPriority w:val="9"/>
    <w:rPr>
      <w:rFonts w:ascii="等线" w:hAnsi="等线" w:eastAsia="黑体" w:cs="等线"/>
      <w:b/>
      <w:bCs/>
      <w:kern w:val="44"/>
      <w:sz w:val="30"/>
      <w:szCs w:val="44"/>
    </w:rPr>
  </w:style>
  <w:style w:type="character" w:customStyle="1" w:styleId="26">
    <w:name w:val="标题 2 字符"/>
    <w:basedOn w:val="16"/>
    <w:link w:val="3"/>
    <w:qFormat/>
    <w:uiPriority w:val="9"/>
    <w:rPr>
      <w:rFonts w:asciiTheme="majorHAnsi" w:hAnsiTheme="majorHAnsi" w:eastAsiaTheme="majorEastAsia" w:cstheme="majorBidi"/>
      <w:b/>
      <w:bCs/>
      <w:sz w:val="32"/>
      <w:szCs w:val="32"/>
    </w:rPr>
  </w:style>
  <w:style w:type="character" w:customStyle="1" w:styleId="27">
    <w:name w:val="标题 3 字符"/>
    <w:basedOn w:val="16"/>
    <w:link w:val="4"/>
    <w:qFormat/>
    <w:uiPriority w:val="9"/>
    <w:rPr>
      <w:rFonts w:ascii="等线" w:hAnsi="等线" w:eastAsia="仿宋" w:cs="等线"/>
      <w:b/>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ee70cd7e-3ba4-48c5-8e32-a2f0e8303de4</errorID>
      <errorWord>。</errorWord>
      <group>L1_Punc</group>
      <groupName>标点问题</groupName>
      <ability>L2_Punc_CN</ability>
      <abilityName>标点符号问题</abilityName>
      <candidateList>
        <item>，</item>
      </candidateList>
      <explain/>
      <paraID>60929866</paraID>
      <start>49</start>
      <end>50</end>
      <status>ignored</status>
      <modifiedWord/>
      <trackRevisions>false</trackRevisions>
    </reviewItem>
    <reviewItem>
      <errorID>b0b1e23f-537b-4145-9397-bf45fc6e2b48</errorID>
      <errorWord>CCAR121</errorWord>
      <group>L1_Word</group>
      <groupName>字词问题</groupName>
      <ability>L2_Typo</ability>
      <abilityName>字词错误</abilityName>
      <candidateList>
        <item>CCAR 121</item>
      </candidateList>
      <explain/>
      <paraID> 8224172</paraID>
      <start>6</start>
      <end>13</end>
      <status>unmodified</status>
      <modifiedWord/>
      <trackRevisions>false</trackRevisions>
    </reviewItem>
    <reviewItem>
      <errorID>487bec08-8111-4ea8-abf0-e922327ce9d6</errorID>
      <errorWord>（</errorWord>
      <group>L1_Punc</group>
      <groupName>标点问题</groupName>
      <ability>L2_Punc_CN</ability>
      <abilityName>标点符号问题</abilityName>
      <candidateList/>
      <explain>同一形式括号套用。</explain>
      <paraID>3053C825</paraID>
      <start>20</start>
      <end>21</end>
      <status>unmodified</status>
      <modifiedWord/>
      <trackRevisions>false</trackRevisions>
    </reviewItem>
    <reviewItem>
      <errorID>7d7db629-b63e-40c3-9892-47d72edb9067</errorID>
      <errorWord>(</errorWord>
      <group>L1_Punc</group>
      <groupName>标点问题</groupName>
      <ability>L2_Punc_CN</ability>
      <abilityName>标点符号问题</abilityName>
      <candidateList/>
      <explain>同一形式括号套用。</explain>
      <paraID>3053C825</paraID>
      <start>34</start>
      <end>35</end>
      <status>unmodified</status>
      <modifiedWord/>
      <trackRevisions>false</trackRevisions>
    </reviewItem>
    <reviewItem>
      <errorID>650af1b8-d5cc-4c3b-8bfc-695fe4c9b185</errorID>
      <errorWord> </errorWord>
      <group>L1_Punc</group>
      <groupName>标点问题</groupName>
      <ability>L2_Punc_CN</ability>
      <abilityName>标点符号问题</abilityName>
      <candidateList>
        <item/>
      </candidateList>
      <explain>此处空格冗余，建议删除。</explain>
      <paraID>3053C825</paraID>
      <start>35</start>
      <end>36</end>
      <status>unmodified</status>
      <modifiedWord/>
      <trackRevisions>false</trackRevisions>
    </reviewItem>
    <reviewItem>
      <errorID>3b597ab6-2bb8-42c7-878d-56832fa5303c</errorID>
      <errorWord>)</errorWord>
      <group>L1_Punc</group>
      <groupName>标点问题</groupName>
      <ability>L2_Punc_CN</ability>
      <abilityName>标点符号问题</abilityName>
      <candidateList/>
      <explain>同一形式括号套用。</explain>
      <paraID>3053C825</paraID>
      <start>36</start>
      <end>37</end>
      <status>unmodified</status>
      <modifiedWord/>
      <trackRevisions>false</trackRevisions>
    </reviewItem>
    <reviewItem>
      <errorID>fb1ae11f-3d0e-4f4f-9cc4-ff44d8116d59</errorID>
      <errorWord>）</errorWord>
      <group>L1_Punc</group>
      <groupName>标点问题</groupName>
      <ability>L2_Punc_CN</ability>
      <abilityName>标点符号问题</abilityName>
      <candidateList/>
      <explain>同一形式括号套用。</explain>
      <paraID>3053C825</paraID>
      <start>38</start>
      <end>39</end>
      <status>unmodified</status>
      <modifiedWord/>
      <trackRevisions>false</trackRevisions>
    </reviewItem>
    <reviewItem>
      <errorID>7869e00c-eef5-44d3-a93b-8d9f6d7e3de9</errorID>
      <errorWord>（</errorWord>
      <group>L1_Punc</group>
      <groupName>标点问题</groupName>
      <ability>L2_Punc_CN</ability>
      <abilityName>标点符号问题</abilityName>
      <candidateList/>
      <explain>同一形式括号套用。</explain>
      <paraID>59A260DA</paraID>
      <start>14</start>
      <end>15</end>
      <status>unmodified</status>
      <modifiedWord/>
      <trackRevisions>false</trackRevisions>
    </reviewItem>
    <reviewItem>
      <errorID>2427bf5b-455a-4015-acd0-f3c17224690f</errorID>
      <errorWord>(</errorWord>
      <group>L1_Punc</group>
      <groupName>标点问题</groupName>
      <ability>L2_Punc_CN</ability>
      <abilityName>标点符号问题</abilityName>
      <candidateList/>
      <explain>同一形式括号套用。</explain>
      <paraID>59A260DA</paraID>
      <start>26</start>
      <end>27</end>
      <status>unmodified</status>
      <modifiedWord/>
      <trackRevisions>false</trackRevisions>
    </reviewItem>
    <reviewItem>
      <errorID>5606ce4f-c13f-476a-a9c8-725282f7cb24</errorID>
      <errorWord> </errorWord>
      <group>L1_Punc</group>
      <groupName>标点问题</groupName>
      <ability>L2_Punc_CN</ability>
      <abilityName>标点符号问题</abilityName>
      <candidateList>
        <item/>
      </candidateList>
      <explain>此处空格冗余，建议删除。</explain>
      <paraID>59A260DA</paraID>
      <start>27</start>
      <end>28</end>
      <status>unmodified</status>
      <modifiedWord/>
      <trackRevisions>false</trackRevisions>
    </reviewItem>
    <reviewItem>
      <errorID>f5151ffc-50b0-4500-86df-e4591cbc5ba7</errorID>
      <errorWord>)</errorWord>
      <group>L1_Punc</group>
      <groupName>标点问题</groupName>
      <ability>L2_Punc_CN</ability>
      <abilityName>标点符号问题</abilityName>
      <candidateList/>
      <explain>同一形式括号套用。</explain>
      <paraID>59A260DA</paraID>
      <start>29</start>
      <end>30</end>
      <status>unmodified</status>
      <modifiedWord/>
      <trackRevisions>false</trackRevisions>
    </reviewItem>
    <reviewItem>
      <errorID>6e191360-a7aa-4a03-9d04-a78da6d05d5c</errorID>
      <errorWord>）</errorWord>
      <group>L1_Punc</group>
      <groupName>标点问题</groupName>
      <ability>L2_Punc_CN</ability>
      <abilityName>标点符号问题</abilityName>
      <candidateList/>
      <explain>同一形式括号套用。</explain>
      <paraID>59A260DA</paraID>
      <start>30</start>
      <end>31</end>
      <status>unmodified</status>
      <modifiedWord/>
      <trackRevisions>false</trackRevisions>
    </reviewItem>
    <reviewItem>
      <errorID>7a5d704e-4c27-466a-8dd5-7cf5f84dee46</errorID>
      <errorWord>（</errorWord>
      <group>L1_Punc</group>
      <groupName>标点问题</groupName>
      <ability>L2_Punc_CN</ability>
      <abilityName>标点符号问题</abilityName>
      <candidateList/>
      <explain>同一形式括号套用。</explain>
      <paraID>7D8A68B6</paraID>
      <start>12</start>
      <end>13</end>
      <status>unmodified</status>
      <modifiedWord/>
      <trackRevisions>false</trackRevisions>
    </reviewItem>
    <reviewItem>
      <errorID>ab8f666e-100d-4ddc-af85-0b3e8eafd328</errorID>
      <errorWord>(</errorWord>
      <group>L1_Punc</group>
      <groupName>标点问题</groupName>
      <ability>L2_Punc_CN</ability>
      <abilityName>标点符号问题</abilityName>
      <candidateList/>
      <explain>同一形式括号套用。</explain>
      <paraID>7D8A68B6</paraID>
      <start>24</start>
      <end>25</end>
      <status>unmodified</status>
      <modifiedWord/>
      <trackRevisions>false</trackRevisions>
    </reviewItem>
    <reviewItem>
      <errorID>25f55a54-f28e-4312-8cb8-1d41e491a86f</errorID>
      <errorWord> </errorWord>
      <group>L1_Punc</group>
      <groupName>标点问题</groupName>
      <ability>L2_Punc_CN</ability>
      <abilityName>标点符号问题</abilityName>
      <candidateList>
        <item/>
      </candidateList>
      <explain>此处空格冗余，建议删除。</explain>
      <paraID>7D8A68B6</paraID>
      <start>25</start>
      <end>26</end>
      <status>unmodified</status>
      <modifiedWord/>
      <trackRevisions>false</trackRevisions>
    </reviewItem>
    <reviewItem>
      <errorID>f7d9192f-b45d-42da-b642-2c9fce787357</errorID>
      <errorWord>)</errorWord>
      <group>L1_Punc</group>
      <groupName>标点问题</groupName>
      <ability>L2_Punc_CN</ability>
      <abilityName>标点符号问题</abilityName>
      <candidateList/>
      <explain>同一形式括号套用。</explain>
      <paraID>7D8A68B6</paraID>
      <start>27</start>
      <end>28</end>
      <status>unmodified</status>
      <modifiedWord/>
      <trackRevisions>false</trackRevisions>
    </reviewItem>
    <reviewItem>
      <errorID>cb38de79-d5bb-498b-a6c3-d668edc623f4</errorID>
      <errorWord>）</errorWord>
      <group>L1_Punc</group>
      <groupName>标点问题</groupName>
      <ability>L2_Punc_CN</ability>
      <abilityName>标点符号问题</abilityName>
      <candidateList/>
      <explain>同一形式括号套用。</explain>
      <paraID>7D8A68B6</paraID>
      <start>28</start>
      <end>29</end>
      <status>unmodified</status>
      <modifiedWord/>
      <trackRevisions>false</trackRevisions>
    </reviewItem>
    <reviewItem>
      <errorID>f8f9a410-dab8-46f5-8474-12fc641c6eae</errorID>
      <errorWord>符合特定</errorWord>
      <group>L1_Grammar</group>
      <groupName>语法问题</groupName>
      <ability>L2_Grammar</ability>
      <abilityName>语法错误</abilityName>
      <candidateList>
        <item>符合</item>
      </candidateList>
      <explain/>
      <paraID>22DFC002</paraID>
      <start>25</start>
      <end>29</end>
      <status>unmodified</status>
      <modifiedWord/>
      <trackRevisions>false</trackRevisions>
    </reviewItem>
    <reviewItem>
      <errorID>119efd99-7e50-43b4-b7d3-c8ef6f7e9950</errorID>
      <errorWord>和</errorWord>
      <group>L1_Word</group>
      <groupName>字词问题</groupName>
      <ability>L2_Typo</ability>
      <abilityName>字词错误</abilityName>
      <candidateList>
        <item>、</item>
      </candidateList>
      <explain/>
      <paraID>4A014451</paraID>
      <start>35</start>
      <end>36</end>
      <status>unmodified</status>
      <modifiedWord/>
      <trackRevisions>false</trackRevisions>
    </reviewItem>
    <reviewItem>
      <errorID>b0053985-994f-4dbe-a0f1-a23cfa74a90f</errorID>
      <errorWord>、</errorWord>
      <group>L1_Punc</group>
      <groupName>标点问题</groupName>
      <ability>L2_Punc_CN</ability>
      <abilityName>标点符号问题</abilityName>
      <candidateList>
        <item>，</item>
      </candidateList>
      <explain/>
      <paraID>3B034907</paraID>
      <start>17</start>
      <end>18</end>
      <status>unmodified</status>
      <modifiedWord/>
      <trackRevisions>false</trackRevisions>
    </reviewItem>
    <reviewItem>
      <errorID>3f2dbc90-38b1-469e-8c65-922476f13e3b</errorID>
      <errorWord>( )</errorWord>
      <group>L1_Punc</group>
      <groupName>标点问题</groupName>
      <ability>L2_Punc_CN</ability>
      <abilityName>标点符号问题</abilityName>
      <candidateList>
        <item>（ ）</item>
      </candidateList>
      <explain/>
      <paraID> E8EEF56</paraID>
      <start>13</start>
      <end>16</end>
      <status>unmodified</status>
      <modifiedWord/>
      <trackRevisions>false</trackRevisions>
    </reviewItem>
    <reviewItem>
      <errorID>2b268094-b75a-464e-94bf-2bfa23768a0d</errorID>
      <errorWord>( )</errorWord>
      <group>L1_Punc</group>
      <groupName>标点问题</groupName>
      <ability>L2_Punc_CN</ability>
      <abilityName>标点符号问题</abilityName>
      <candidateList>
        <item>（ ）</item>
      </candidateList>
      <explain/>
      <paraID>707890CF</paraID>
      <start>25</start>
      <end>28</end>
      <status>unmodified</status>
      <modifiedWord/>
      <trackRevisions>false</trackRevisions>
    </reviewItem>
    <reviewItem>
      <errorID>7e1cf719-0770-490d-97d3-1fe8cb4ba78f</errorID>
      <errorWord>( )</errorWord>
      <group>L1_Punc</group>
      <groupName>标点问题</groupName>
      <ability>L2_Punc_CN</ability>
      <abilityName>标点符号问题</abilityName>
      <candidateList>
        <item>（ ）</item>
      </candidateList>
      <explain/>
      <paraID>707890CF</paraID>
      <start>32</start>
      <end>35</end>
      <status>unmodified</status>
      <modifiedWord/>
      <trackRevisions>false</trackRevisions>
    </reviewItem>
    <reviewItem>
      <errorID>97af052a-a1d8-4486-b954-e0e93a6e2d7b</errorID>
      <errorWord>管理人员完整</errorWord>
      <group>L1_Grammar</group>
      <groupName>语法问题</groupName>
      <ability>L2_Grammar</ability>
      <abilityName>语法错误</abilityName>
      <candidateList>
        <item>管理人员</item>
      </candidateList>
      <explain/>
      <paraID>343936B6</paraID>
      <start>13</start>
      <end>19</end>
      <status>unmodified</status>
      <modifiedWord/>
      <trackRevisions>false</trackRevisions>
    </reviewItem>
    <reviewItem>
      <errorID>0a392b6a-797b-44eb-b056-61fcccbf090b</errorID>
      <errorWord>人员</errorWord>
      <group>L1_Word</group>
      <groupName>字词问题</groupName>
      <ability>L2_Typo</ability>
      <abilityName>字词错误</abilityName>
      <candidateList>
        <item>完整</item>
      </candidateList>
      <explain/>
      <paraID>343936B6</paraID>
      <start>20</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18f105-eea0-4a8c-aa50-4e4787b00a92}">
  <ds:schemaRefs/>
</ds:datastoreItem>
</file>

<file path=docProps/app.xml><?xml version="1.0" encoding="utf-8"?>
<Properties xmlns="http://schemas.openxmlformats.org/officeDocument/2006/extended-properties" xmlns:vt="http://schemas.openxmlformats.org/officeDocument/2006/docPropsVTypes">
  <Template>Normal</Template>
  <Pages>29</Pages>
  <Words>2548</Words>
  <Characters>3113</Characters>
  <Lines>87</Lines>
  <Paragraphs>24</Paragraphs>
  <TotalTime>9</TotalTime>
  <ScaleCrop>false</ScaleCrop>
  <LinksUpToDate>false</LinksUpToDate>
  <CharactersWithSpaces>3288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2026-06-25T00:54:00Z</dcterms:created>
  <dc:creator>作者</dc:creator>
  <cp:lastModifiedBy>李宇飞</cp:lastModifiedBy>
  <dcterms:modified xsi:type="dcterms:W3CDTF">2026-07-23T08:27:28Z</dcterms:modified>
  <dc:subject>科目</dc:subject>
  <dc:title>标题</dc:title>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2014-08-13T00:00:00Z</vt:filetime>
  </property>
  <property fmtid="{D5CDD505-2E9C-101B-9397-08002B2CF9AE}" pid="3" name="Creator">
    <vt:lpwstr>创建者</vt:lpwstr>
  </property>
  <property fmtid="{D5CDD505-2E9C-101B-9397-08002B2CF9AE}" pid="4" name="LastSaved">
    <vt:filetime>2026-04-09T00:00:00Z</vt:filetime>
  </property>
  <property fmtid="{D5CDD505-2E9C-101B-9397-08002B2CF9AE}" pid="5" name="Producer">
    <vt:lpwstr>生产者</vt:lpwstr>
  </property>
  <property fmtid="{D5CDD505-2E9C-101B-9397-08002B2CF9AE}" pid="6" name="KSOTemplateDocerSaveRecord">
    <vt:lpwstr>eyJoZGlkIjoiN2M5NDQ3MTA1ZGFlZWRhYzFmNmEwOThjOTkxYWNjYWUiLCJ1c2VySWQiOiI3NzczMTgyODQifQ==</vt:lpwstr>
  </property>
  <property fmtid="{D5CDD505-2E9C-101B-9397-08002B2CF9AE}" pid="7" name="KSOProductBuildVer">
    <vt:lpwstr>2052-12.1.0.26895</vt:lpwstr>
  </property>
  <property fmtid="{D5CDD505-2E9C-101B-9397-08002B2CF9AE}" pid="8" name="ICV">
    <vt:lpwstr>37CB9F543F874699A09D4BAE1642F83F_13</vt:lpwstr>
  </property>
</Properties>
</file>