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0A6B9">
      <w:pPr>
        <w:spacing w:line="560" w:lineRule="exact"/>
        <w:rPr>
          <w:rFonts w:hint="default" w:ascii="Times New Roman" w:hAnsi="Times New Roman" w:eastAsia="黑体"/>
          <w:bCs/>
          <w:sz w:val="32"/>
          <w:szCs w:val="32"/>
          <w:lang w:val="en-US" w:eastAsia="zh-CN"/>
        </w:rPr>
      </w:pPr>
      <w:r>
        <w:rPr>
          <w:rFonts w:hint="eastAsia" w:ascii="Times New Roman" w:hAnsi="Times New Roman" w:eastAsia="黑体"/>
          <w:bCs/>
          <w:sz w:val="32"/>
          <w:szCs w:val="32"/>
          <w:lang w:val="en-US" w:eastAsia="zh-CN"/>
        </w:rPr>
        <w:t>附件1</w:t>
      </w:r>
    </w:p>
    <w:p w14:paraId="712F2687">
      <w:pPr>
        <w:pStyle w:val="2"/>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eastAsia="方正小标宋_GBK" w:cs="方正小标宋_GBK"/>
          <w:b w:val="0"/>
          <w:sz w:val="44"/>
        </w:rPr>
      </w:pPr>
      <w:r>
        <w:rPr>
          <w:rFonts w:hint="eastAsia" w:eastAsia="方正小标宋_GBK" w:cs="方正小标宋_GBK"/>
          <w:b w:val="0"/>
          <w:sz w:val="44"/>
        </w:rPr>
        <w:t>运输机场运行安全保障能力综合评估</w:t>
      </w:r>
    </w:p>
    <w:p w14:paraId="38E5F5D7">
      <w:pPr>
        <w:pStyle w:val="2"/>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eastAsia="方正小标宋_GBK" w:cs="方正小标宋_GBK"/>
          <w:b w:val="0"/>
          <w:sz w:val="44"/>
        </w:rPr>
      </w:pPr>
      <w:r>
        <w:rPr>
          <w:rFonts w:hint="eastAsia" w:eastAsia="方正小标宋_GBK" w:cs="方正小标宋_GBK"/>
          <w:b w:val="0"/>
          <w:sz w:val="44"/>
        </w:rPr>
        <w:t>管理办法</w:t>
      </w:r>
    </w:p>
    <w:p w14:paraId="1176F0DB">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修订征求意见稿</w:t>
      </w:r>
      <w:r>
        <w:rPr>
          <w:rFonts w:hint="eastAsia" w:ascii="楷体_GB2312" w:hAnsi="楷体_GB2312" w:eastAsia="楷体_GB2312" w:cs="楷体_GB2312"/>
          <w:sz w:val="32"/>
          <w:szCs w:val="32"/>
          <w:lang w:eastAsia="zh-CN"/>
        </w:rPr>
        <w:t>）</w:t>
      </w:r>
      <w:bookmarkStart w:id="2" w:name="_GoBack"/>
      <w:bookmarkEnd w:id="2"/>
    </w:p>
    <w:p w14:paraId="6915090D">
      <w:pPr>
        <w:pStyle w:val="2"/>
        <w:keepNext/>
        <w:keepLines/>
        <w:pageBreakBefore w:val="0"/>
        <w:widowControl w:val="0"/>
        <w:kinsoku/>
        <w:wordWrap/>
        <w:overflowPunct/>
        <w:topLinePunct w:val="0"/>
        <w:autoSpaceDE/>
        <w:autoSpaceDN/>
        <w:bidi w:val="0"/>
        <w:adjustRightInd/>
        <w:snapToGrid/>
        <w:spacing w:before="156" w:beforeLines="50" w:after="156" w:afterLines="50" w:line="560" w:lineRule="exact"/>
        <w:ind w:firstLine="0"/>
        <w:jc w:val="center"/>
        <w:textAlignment w:val="auto"/>
        <w:rPr>
          <w:rFonts w:eastAsia="黑体"/>
          <w:b w:val="0"/>
          <w:sz w:val="32"/>
          <w:szCs w:val="32"/>
        </w:rPr>
      </w:pPr>
      <w:r>
        <w:rPr>
          <w:rFonts w:eastAsia="黑体"/>
          <w:b w:val="0"/>
          <w:sz w:val="32"/>
          <w:szCs w:val="32"/>
        </w:rPr>
        <w:t>第一章</w:t>
      </w:r>
      <w:r>
        <w:rPr>
          <w:rFonts w:hint="eastAsia" w:eastAsia="黑体"/>
          <w:b w:val="0"/>
          <w:sz w:val="32"/>
          <w:szCs w:val="32"/>
        </w:rPr>
        <w:t xml:space="preserve">  </w:t>
      </w:r>
      <w:r>
        <w:rPr>
          <w:rFonts w:eastAsia="黑体"/>
          <w:b w:val="0"/>
          <w:sz w:val="32"/>
          <w:szCs w:val="32"/>
        </w:rPr>
        <w:t>总</w:t>
      </w:r>
      <w:r>
        <w:rPr>
          <w:rFonts w:hint="eastAsia" w:eastAsia="黑体"/>
          <w:b w:val="0"/>
          <w:sz w:val="32"/>
          <w:szCs w:val="32"/>
        </w:rPr>
        <w:t xml:space="preserve">  </w:t>
      </w:r>
      <w:r>
        <w:rPr>
          <w:rFonts w:eastAsia="黑体"/>
          <w:b w:val="0"/>
          <w:sz w:val="32"/>
          <w:szCs w:val="32"/>
        </w:rPr>
        <w:t>则</w:t>
      </w:r>
    </w:p>
    <w:p w14:paraId="670930A8">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第一条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为进一步规范运输机场运行安全保障能力综合评估工作，促进</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Times New Roman"/>
          <w:sz w:val="32"/>
          <w:szCs w:val="32"/>
        </w:rPr>
        <w:t>提升运行安全管理水平，根据《中华人民共和国安全生产法》《中华人民共和国民用航空法》《民用机场管理条例》《运输机场运行安全管理规定》《民用航空安全信息管理规定》《民航行业信用管理办法》等有关法律、法规及规定，制定本办法。</w:t>
      </w:r>
    </w:p>
    <w:p w14:paraId="669C7D50">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第二条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本办法适用于运输机场（包括军民合用机场民用部分，以下简称机场）的运行安全（不含空管运行部分）保障能力综合评估。</w:t>
      </w:r>
    </w:p>
    <w:p w14:paraId="1C804F90">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第三条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中国民用航空局（以下简称民航局）负责机场运行安全保障能力综合评估统一监督管理。</w:t>
      </w:r>
    </w:p>
    <w:p w14:paraId="01791791">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中国民用航空地区管理局（以下简称管理局）负责辖区内机场运行安全保障能力综合评估监督管理。</w:t>
      </w:r>
    </w:p>
    <w:p w14:paraId="1D89B765">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管理局派出机构负责辖区内机场运行安全保障能力综合评估工作。</w:t>
      </w:r>
    </w:p>
    <w:p w14:paraId="474D6D7E">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bCs/>
          <w:sz w:val="32"/>
          <w:szCs w:val="32"/>
        </w:rPr>
        <w:t>第四条</w:t>
      </w:r>
      <w:r>
        <w:rPr>
          <w:rFonts w:hint="eastAsia" w:ascii="Times New Roman" w:hAnsi="Times New Roman" w:eastAsia="仿宋_GB2312" w:cs="Times New Roman"/>
          <w:b/>
          <w:sz w:val="32"/>
          <w:szCs w:val="32"/>
        </w:rPr>
        <w:t xml:space="preserve">  </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Times New Roman"/>
          <w:sz w:val="32"/>
          <w:szCs w:val="32"/>
        </w:rPr>
        <w:t>和各驻场单位应当按照相关规定和要求，如实按时报告各类机场运行安全事件信息及其他相关情况，并积极配合</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Times New Roman"/>
          <w:sz w:val="32"/>
          <w:szCs w:val="32"/>
        </w:rPr>
        <w:t>做好评估工作。</w:t>
      </w:r>
    </w:p>
    <w:p w14:paraId="37A37861">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黑体"/>
          <w:bCs/>
          <w:sz w:val="32"/>
          <w:szCs w:val="32"/>
        </w:rPr>
        <w:t>第五条</w:t>
      </w:r>
      <w:r>
        <w:rPr>
          <w:rFonts w:hint="eastAsia" w:ascii="Times New Roman" w:hAnsi="Times New Roman" w:eastAsia="仿宋_GB2312" w:cs="Times New Roman"/>
          <w:b/>
          <w:sz w:val="32"/>
          <w:szCs w:val="32"/>
        </w:rPr>
        <w:t xml:space="preserve"> </w:t>
      </w:r>
      <w:r>
        <w:rPr>
          <w:rFonts w:ascii="仿宋_GB2312" w:hAnsi="仿宋_GB2312" w:eastAsia="仿宋_GB2312" w:cs="Times New Roman"/>
          <w:b/>
          <w:sz w:val="32"/>
          <w:szCs w:val="32"/>
        </w:rPr>
        <w:t xml:space="preserve"> </w:t>
      </w:r>
      <w:r>
        <w:rPr>
          <w:rFonts w:hint="eastAsia" w:ascii="仿宋_GB2312" w:hAnsi="仿宋_GB2312" w:eastAsia="仿宋_GB2312" w:cs="Times New Roman"/>
          <w:sz w:val="32"/>
          <w:szCs w:val="32"/>
        </w:rPr>
        <w:t>机场运行安全保障能力综合评估工作每半年为一个周期，分别为每年度</w:t>
      </w:r>
      <w:r>
        <w:rPr>
          <w:rFonts w:ascii="仿宋_GB2312" w:hAnsi="仿宋_GB2312" w:eastAsia="仿宋_GB2312" w:cs="Times New Roman"/>
          <w:sz w:val="32"/>
          <w:szCs w:val="32"/>
        </w:rPr>
        <w:t>1月1日至6月30日和每年度7月1日至12月31日。在每个评估周期内采取动态与静态相结合的评估方式。</w:t>
      </w:r>
    </w:p>
    <w:p w14:paraId="223C9D6B">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bCs/>
          <w:sz w:val="32"/>
          <w:szCs w:val="32"/>
        </w:rPr>
        <w:t>第六条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机场运行安全保障能力综合评估工作应当坚持组织高效、促进安全、实事求是、公开透明的原则。</w:t>
      </w:r>
    </w:p>
    <w:p w14:paraId="0A6FE45F">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第七条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管理局可根据辖区实际情况，制定评估实施细则，确保评估工作实施顺利、程序规范、结果客观。</w:t>
      </w:r>
    </w:p>
    <w:p w14:paraId="0198CEF8">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第八条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机场运行安全保障能力综合评估结果以机场运行安全保障能力指数为体现形式，满分</w:t>
      </w:r>
      <w:r>
        <w:rPr>
          <w:rFonts w:ascii="仿宋_GB2312" w:hAnsi="仿宋_GB2312" w:eastAsia="仿宋_GB2312" w:cs="Times New Roman"/>
          <w:sz w:val="32"/>
          <w:szCs w:val="32"/>
        </w:rPr>
        <w:t>100分，可以计负分。</w:t>
      </w:r>
    </w:p>
    <w:p w14:paraId="5E48AFA2">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机场运行安全保障能力指数高于</w:t>
      </w:r>
      <w:r>
        <w:rPr>
          <w:rFonts w:ascii="仿宋_GB2312" w:hAnsi="仿宋_GB2312" w:eastAsia="仿宋_GB2312" w:cs="Times New Roman"/>
          <w:sz w:val="32"/>
          <w:szCs w:val="32"/>
        </w:rPr>
        <w:t>90分（不含）的机场列入绿色区间，低于70分（含）的机场列入红色区间，其余列入黄色区间。</w:t>
      </w:r>
    </w:p>
    <w:p w14:paraId="2586D081">
      <w:pPr>
        <w:pStyle w:val="2"/>
        <w:keepNext/>
        <w:keepLines/>
        <w:pageBreakBefore w:val="0"/>
        <w:widowControl w:val="0"/>
        <w:kinsoku/>
        <w:wordWrap/>
        <w:overflowPunct/>
        <w:topLinePunct w:val="0"/>
        <w:autoSpaceDE/>
        <w:autoSpaceDN/>
        <w:bidi w:val="0"/>
        <w:adjustRightInd/>
        <w:snapToGrid/>
        <w:spacing w:before="156" w:beforeLines="50" w:after="156" w:afterLines="50" w:line="560" w:lineRule="exact"/>
        <w:ind w:firstLine="0"/>
        <w:jc w:val="center"/>
        <w:textAlignment w:val="auto"/>
        <w:rPr>
          <w:rFonts w:eastAsia="黑体"/>
          <w:b w:val="0"/>
          <w:sz w:val="32"/>
          <w:szCs w:val="32"/>
        </w:rPr>
      </w:pPr>
      <w:r>
        <w:rPr>
          <w:rFonts w:eastAsia="黑体"/>
          <w:b w:val="0"/>
          <w:sz w:val="32"/>
          <w:szCs w:val="32"/>
        </w:rPr>
        <w:t>第</w:t>
      </w:r>
      <w:r>
        <w:rPr>
          <w:rFonts w:hint="eastAsia" w:eastAsia="黑体"/>
          <w:b w:val="0"/>
          <w:sz w:val="32"/>
          <w:szCs w:val="32"/>
        </w:rPr>
        <w:t>二</w:t>
      </w:r>
      <w:r>
        <w:rPr>
          <w:rFonts w:eastAsia="黑体"/>
          <w:b w:val="0"/>
          <w:sz w:val="32"/>
          <w:szCs w:val="32"/>
        </w:rPr>
        <w:t>章</w:t>
      </w:r>
      <w:r>
        <w:rPr>
          <w:rFonts w:hint="eastAsia" w:eastAsia="黑体"/>
          <w:b w:val="0"/>
          <w:sz w:val="32"/>
          <w:szCs w:val="32"/>
        </w:rPr>
        <w:t xml:space="preserve">  评估程序和方法</w:t>
      </w:r>
    </w:p>
    <w:p w14:paraId="452ED2C3">
      <w:pPr>
        <w:spacing w:line="560" w:lineRule="exact"/>
        <w:ind w:firstLine="640" w:firstLineChars="200"/>
        <w:rPr>
          <w:rFonts w:hint="eastAsia" w:ascii="仿宋_GB2312" w:hAnsi="仿宋_GB2312" w:eastAsia="仿宋_GB2312" w:cs="Times New Roman"/>
          <w:sz w:val="32"/>
          <w:szCs w:val="32"/>
        </w:rPr>
      </w:pPr>
      <w:r>
        <w:rPr>
          <w:rFonts w:hint="eastAsia" w:ascii="Times New Roman" w:hAnsi="Times New Roman" w:eastAsia="黑体"/>
          <w:bCs/>
          <w:sz w:val="32"/>
          <w:szCs w:val="32"/>
        </w:rPr>
        <w:t>第九条</w:t>
      </w:r>
      <w:r>
        <w:rPr>
          <w:rFonts w:hint="eastAsia" w:ascii="Times New Roman" w:hAnsi="Times New Roman" w:eastAsia="仿宋_GB2312" w:cs="Times New Roman"/>
          <w:b/>
          <w:bCs/>
          <w:sz w:val="32"/>
          <w:szCs w:val="32"/>
        </w:rPr>
        <w:t xml:space="preserve"> </w:t>
      </w:r>
      <w:r>
        <w:rPr>
          <w:rFonts w:ascii="仿宋_GB2312" w:hAnsi="仿宋_GB2312" w:eastAsia="仿宋_GB2312" w:cs="Times New Roman"/>
          <w:b/>
          <w:bCs/>
          <w:sz w:val="32"/>
          <w:szCs w:val="32"/>
        </w:rPr>
        <w:t xml:space="preserve"> </w:t>
      </w:r>
      <w:r>
        <w:rPr>
          <w:rFonts w:hint="eastAsia" w:ascii="仿宋_GB2312" w:hAnsi="仿宋_GB2312" w:eastAsia="仿宋_GB2312" w:cs="Times New Roman"/>
          <w:sz w:val="32"/>
          <w:szCs w:val="32"/>
        </w:rPr>
        <w:t>机场分为</w:t>
      </w:r>
      <w:r>
        <w:rPr>
          <w:rFonts w:ascii="仿宋_GB2312" w:hAnsi="仿宋_GB2312" w:eastAsia="仿宋_GB2312" w:cs="仿宋_GB2312"/>
          <w:sz w:val="32"/>
          <w:szCs w:val="32"/>
        </w:rPr>
        <w:t>A、B、C、D、E</w:t>
      </w:r>
      <w:r>
        <w:rPr>
          <w:rFonts w:hint="eastAsia" w:ascii="仿宋_GB2312" w:hAnsi="仿宋_GB2312" w:eastAsia="仿宋_GB2312" w:cs="Times New Roman"/>
          <w:sz w:val="32"/>
          <w:szCs w:val="32"/>
        </w:rPr>
        <w:t>五类实施运行安全保障能力综合评估。</w:t>
      </w:r>
    </w:p>
    <w:p w14:paraId="3FF9A8C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（一）以客运航班为主</w:t>
      </w:r>
      <w:r>
        <w:rPr>
          <w:rFonts w:hint="eastAsia" w:ascii="仿宋_GB2312" w:hAnsi="仿宋_GB2312" w:eastAsia="仿宋_GB2312" w:cs="仿宋_GB2312"/>
          <w:sz w:val="32"/>
          <w:szCs w:val="32"/>
          <w:highlight w:val="none"/>
          <w:lang w:val="en-US" w:eastAsia="zh-CN"/>
        </w:rPr>
        <w:t>的机场，按照年旅客吞吐量进行分类。</w:t>
      </w:r>
      <w:r>
        <w:rPr>
          <w:rFonts w:hint="eastAsia" w:ascii="仿宋_GB2312" w:hAnsi="仿宋_GB2312" w:eastAsia="仿宋_GB2312" w:cs="仿宋_GB2312"/>
          <w:sz w:val="32"/>
          <w:szCs w:val="32"/>
        </w:rPr>
        <w:t>具体划分如下：</w:t>
      </w:r>
    </w:p>
    <w:p w14:paraId="457FAE40">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A类机场是上一年度年旅客吞吐量</w:t>
      </w:r>
      <w:r>
        <w:rPr>
          <w:rFonts w:hint="eastAsia" w:ascii="仿宋_GB2312" w:hAnsi="仿宋_GB2312" w:eastAsia="仿宋_GB2312" w:cs="仿宋_GB2312"/>
          <w:sz w:val="32"/>
          <w:szCs w:val="32"/>
          <w:highlight w:val="none"/>
          <w:lang w:val="en-US" w:eastAsia="zh-CN"/>
        </w:rPr>
        <w:t>大于</w:t>
      </w:r>
      <w:r>
        <w:rPr>
          <w:rFonts w:hint="eastAsia" w:ascii="仿宋_GB2312" w:hAnsi="仿宋_GB2312" w:eastAsia="仿宋_GB2312" w:cs="仿宋_GB2312"/>
          <w:sz w:val="32"/>
          <w:szCs w:val="32"/>
          <w:highlight w:val="none"/>
        </w:rPr>
        <w:t>4000万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人次的机场。</w:t>
      </w:r>
    </w:p>
    <w:p w14:paraId="086AFA3E">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B类机场是上一年度年旅客吞吐量1000万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至</w:t>
      </w:r>
      <w:r>
        <w:rPr>
          <w:rFonts w:hint="eastAsia" w:ascii="仿宋_GB2312" w:hAnsi="仿宋_GB2312" w:eastAsia="仿宋_GB2312" w:cs="仿宋_GB2312"/>
          <w:sz w:val="32"/>
          <w:szCs w:val="32"/>
          <w:highlight w:val="none"/>
        </w:rPr>
        <w:t>4000万人次的机场。</w:t>
      </w:r>
    </w:p>
    <w:p w14:paraId="0B0EC9B5">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C类机场是上一年度年旅客吞吐量200万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至</w:t>
      </w:r>
      <w:r>
        <w:rPr>
          <w:rFonts w:hint="eastAsia" w:ascii="仿宋_GB2312" w:hAnsi="仿宋_GB2312" w:eastAsia="仿宋_GB2312" w:cs="仿宋_GB2312"/>
          <w:sz w:val="32"/>
          <w:szCs w:val="32"/>
          <w:highlight w:val="none"/>
        </w:rPr>
        <w:t>1000万人次的机场。</w:t>
      </w:r>
    </w:p>
    <w:p w14:paraId="515CEC89">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D类机场是上一年度年旅客吞吐量50万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至</w:t>
      </w:r>
      <w:r>
        <w:rPr>
          <w:rFonts w:hint="eastAsia" w:ascii="仿宋_GB2312" w:hAnsi="仿宋_GB2312" w:eastAsia="仿宋_GB2312" w:cs="仿宋_GB2312"/>
          <w:sz w:val="32"/>
          <w:szCs w:val="32"/>
          <w:highlight w:val="none"/>
        </w:rPr>
        <w:t>200万人次的机场。</w:t>
      </w:r>
    </w:p>
    <w:p w14:paraId="2D7920C2">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E类机场是上一年度年旅客吞吐量</w:t>
      </w:r>
      <w:r>
        <w:rPr>
          <w:rFonts w:hint="eastAsia" w:ascii="仿宋_GB2312" w:hAnsi="仿宋_GB2312" w:eastAsia="仿宋_GB2312" w:cs="仿宋_GB2312"/>
          <w:sz w:val="32"/>
          <w:szCs w:val="32"/>
          <w:highlight w:val="none"/>
          <w:lang w:val="en-US" w:eastAsia="zh-CN"/>
        </w:rPr>
        <w:t>小于</w:t>
      </w:r>
      <w:r>
        <w:rPr>
          <w:rFonts w:hint="eastAsia" w:ascii="仿宋_GB2312" w:hAnsi="仿宋_GB2312" w:eastAsia="仿宋_GB2312" w:cs="仿宋_GB2312"/>
          <w:sz w:val="32"/>
          <w:szCs w:val="32"/>
          <w:highlight w:val="none"/>
        </w:rPr>
        <w:t>50万</w:t>
      </w:r>
      <w:r>
        <w:rPr>
          <w:rFonts w:hint="eastAsia" w:ascii="仿宋_GB2312" w:hAnsi="仿宋_GB2312" w:eastAsia="仿宋_GB2312" w:cs="仿宋_GB2312"/>
          <w:sz w:val="32"/>
          <w:szCs w:val="32"/>
          <w:highlight w:val="none"/>
          <w:lang w:val="en-US" w:eastAsia="zh-CN"/>
        </w:rPr>
        <w:t>人次</w:t>
      </w:r>
      <w:r>
        <w:rPr>
          <w:rFonts w:hint="eastAsia" w:ascii="仿宋_GB2312" w:hAnsi="仿宋_GB2312" w:eastAsia="仿宋_GB2312" w:cs="仿宋_GB2312"/>
          <w:sz w:val="32"/>
          <w:szCs w:val="32"/>
          <w:highlight w:val="none"/>
        </w:rPr>
        <w:t>的机场。</w:t>
      </w:r>
    </w:p>
    <w:p w14:paraId="3DE591C4">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（二）以货运航班为主的机场，按照年运输起降架次进行分类。</w:t>
      </w:r>
      <w:r>
        <w:rPr>
          <w:rFonts w:hint="eastAsia" w:ascii="仿宋_GB2312" w:hAnsi="仿宋_GB2312" w:eastAsia="仿宋_GB2312" w:cs="仿宋_GB2312"/>
          <w:sz w:val="32"/>
          <w:szCs w:val="32"/>
        </w:rPr>
        <w:t>具体划分如下：</w:t>
      </w:r>
    </w:p>
    <w:p w14:paraId="044D2531">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A类机场是上一年度年运输起降架次大于25万（含）架次的机场。</w:t>
      </w:r>
    </w:p>
    <w:p w14:paraId="787BC671">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B类机场是上一年度年运输起降架次7.5万（含）至25万架次的机场。</w:t>
      </w:r>
    </w:p>
    <w:p w14:paraId="20C05E4E">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C类机场是上一年度年运输起降架次1.5万（含）至7.5万架次的机场。</w:t>
      </w:r>
    </w:p>
    <w:p w14:paraId="1984B45D">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D类机场是上一年度年运输起降架次5000（含）至1.5万架次的机场。</w:t>
      </w:r>
    </w:p>
    <w:p w14:paraId="65EE09E8">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E类机场是上一年度年运输起降架次小于5000架次的机场。</w:t>
      </w:r>
    </w:p>
    <w:p w14:paraId="7AECFA91">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黑体"/>
          <w:bCs/>
          <w:sz w:val="32"/>
          <w:szCs w:val="32"/>
        </w:rPr>
        <w:t>第十条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机场</w:t>
      </w:r>
      <w:r>
        <w:rPr>
          <w:rFonts w:hint="eastAsia" w:ascii="仿宋_GB2312" w:hAnsi="仿宋_GB2312" w:eastAsia="仿宋_GB2312" w:cs="仿宋_GB2312"/>
          <w:sz w:val="32"/>
          <w:szCs w:val="32"/>
        </w:rPr>
        <w:t>评估指标体系包括6个严格管理类指标、1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个安全管理类指标和8个综合管理类指标，指标权重分配综合考虑该指标对机场运行安全的影响程度等因素</w:t>
      </w:r>
      <w:r>
        <w:rPr>
          <w:rFonts w:hint="eastAsia" w:ascii="仿宋_GB2312" w:hAnsi="仿宋_GB2312" w:eastAsia="仿宋_GB2312" w:cs="Times New Roman"/>
          <w:sz w:val="32"/>
          <w:szCs w:val="32"/>
        </w:rPr>
        <w:t>。</w:t>
      </w:r>
    </w:p>
    <w:p w14:paraId="76792B37">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第十一条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严格管理类指标不设权重，机场在评估周期内出现该类指标所描述情形的，每发生一次扣除</w:t>
      </w:r>
      <w:r>
        <w:rPr>
          <w:rFonts w:ascii="仿宋_GB2312" w:hAnsi="仿宋_GB2312" w:eastAsia="仿宋_GB2312" w:cs="Times New Roman"/>
          <w:sz w:val="32"/>
          <w:szCs w:val="32"/>
        </w:rPr>
        <w:t>30分。</w:t>
      </w:r>
    </w:p>
    <w:p w14:paraId="217BC9A1">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安全管理类指标分值依据机场在评估周期内发生的不安全事件情况，采用扣分法进行计算。</w:t>
      </w:r>
    </w:p>
    <w:p w14:paraId="24F2E7A7">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综合管理类指标分值依据机场在评估周期内的综合安全管理和运行保障情况进行评估计算。</w:t>
      </w:r>
    </w:p>
    <w:p w14:paraId="15ADB40F">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机场运行安全保障能力指数按以上指标得分求和计算。</w:t>
      </w:r>
    </w:p>
    <w:p w14:paraId="43E15461">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第十二条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机场运行安全保障能力综合评估工作基本程序如下：</w:t>
      </w:r>
    </w:p>
    <w:p w14:paraId="366ED82B">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（一）管理局派出机构根据辖区内机场运行安全状况和管理情况，按类别计算各机场运行安全保障能力指数。如有需认定的情形，可向管理局请示认定；特殊情况下，可向民航局请示认定；</w:t>
      </w:r>
    </w:p>
    <w:p w14:paraId="5567B5AC">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（二）管理局派出机构在评估周期结束后的</w:t>
      </w:r>
      <w:r>
        <w:rPr>
          <w:rFonts w:ascii="仿宋_GB2312" w:hAnsi="仿宋_GB2312" w:eastAsia="仿宋_GB2312" w:cs="Times New Roman"/>
          <w:sz w:val="32"/>
          <w:szCs w:val="32"/>
        </w:rPr>
        <w:t>10日内，将评估结果报管理局；</w:t>
      </w:r>
    </w:p>
    <w:p w14:paraId="06B16F57">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（三）管理局在评估周期结束后的</w:t>
      </w:r>
      <w:r>
        <w:rPr>
          <w:rFonts w:ascii="仿宋_GB2312" w:hAnsi="仿宋_GB2312" w:eastAsia="仿宋_GB2312" w:cs="Times New Roman"/>
          <w:sz w:val="32"/>
          <w:szCs w:val="32"/>
        </w:rPr>
        <w:t>20日内，将汇总后的评估结果以电报形式报民航局；</w:t>
      </w:r>
    </w:p>
    <w:p w14:paraId="600906A3">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（四）民航局在评估周期结束后的</w:t>
      </w:r>
      <w:r>
        <w:rPr>
          <w:rFonts w:ascii="仿宋_GB2312" w:hAnsi="仿宋_GB2312" w:eastAsia="仿宋_GB2312" w:cs="Times New Roman"/>
          <w:sz w:val="32"/>
          <w:szCs w:val="32"/>
        </w:rPr>
        <w:t>30日内，按类别对全国运输机场运行安全保障能力指数进行综合排名，并以电报形式公布评估结果。</w:t>
      </w:r>
    </w:p>
    <w:p w14:paraId="55509798">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当两个（含）以上机场出现机场运行安全保障能力指数相同的，则该评估周期内旅客吞吐量较大的机场排序靠前。</w:t>
      </w:r>
    </w:p>
    <w:p w14:paraId="68AA7A76">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第十三条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对于</w:t>
      </w:r>
      <w:r>
        <w:rPr>
          <w:rFonts w:ascii="仿宋_GB2312" w:hAnsi="仿宋_GB2312" w:eastAsia="仿宋_GB2312" w:cs="Times New Roman"/>
          <w:sz w:val="32"/>
          <w:szCs w:val="32"/>
        </w:rPr>
        <w:t>E类机场，只公布进入红色和黄色区间的机场，不对其进行排名。</w:t>
      </w:r>
    </w:p>
    <w:p w14:paraId="21BD193F">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第十四条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若单一事件（事故）导致多个指标同时符合计分条件，按扣分较为严厉的指标计分。评估周期内事件（事故）未完成认定的，以认定完成之日为准。</w:t>
      </w:r>
    </w:p>
    <w:p w14:paraId="0E80563D">
      <w:pPr>
        <w:pStyle w:val="2"/>
        <w:keepNext/>
        <w:keepLines/>
        <w:pageBreakBefore w:val="0"/>
        <w:widowControl w:val="0"/>
        <w:kinsoku/>
        <w:wordWrap/>
        <w:overflowPunct/>
        <w:topLinePunct w:val="0"/>
        <w:autoSpaceDE/>
        <w:autoSpaceDN/>
        <w:bidi w:val="0"/>
        <w:adjustRightInd/>
        <w:snapToGrid/>
        <w:spacing w:before="156" w:beforeLines="50" w:after="156" w:afterLines="50" w:line="560" w:lineRule="exact"/>
        <w:ind w:firstLine="0"/>
        <w:jc w:val="center"/>
        <w:textAlignment w:val="auto"/>
        <w:rPr>
          <w:rFonts w:eastAsia="黑体"/>
          <w:b w:val="0"/>
          <w:sz w:val="32"/>
          <w:szCs w:val="32"/>
        </w:rPr>
      </w:pPr>
      <w:r>
        <w:rPr>
          <w:rFonts w:eastAsia="黑体"/>
          <w:b w:val="0"/>
          <w:sz w:val="32"/>
          <w:szCs w:val="32"/>
        </w:rPr>
        <w:t>第</w:t>
      </w:r>
      <w:r>
        <w:rPr>
          <w:rFonts w:hint="eastAsia" w:eastAsia="黑体"/>
          <w:b w:val="0"/>
          <w:sz w:val="32"/>
          <w:szCs w:val="32"/>
        </w:rPr>
        <w:t>三</w:t>
      </w:r>
      <w:r>
        <w:rPr>
          <w:rFonts w:eastAsia="黑体"/>
          <w:b w:val="0"/>
          <w:sz w:val="32"/>
          <w:szCs w:val="32"/>
        </w:rPr>
        <w:t>章</w:t>
      </w:r>
      <w:r>
        <w:rPr>
          <w:rFonts w:hint="eastAsia" w:eastAsia="黑体"/>
          <w:b w:val="0"/>
          <w:sz w:val="32"/>
          <w:szCs w:val="32"/>
        </w:rPr>
        <w:t xml:space="preserve">  监督管理</w:t>
      </w:r>
    </w:p>
    <w:p w14:paraId="6C7916D5">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第十五条</w:t>
      </w:r>
      <w:r>
        <w:rPr>
          <w:rFonts w:hint="eastAsia" w:ascii="黑体" w:hAnsi="黑体" w:eastAsia="黑体"/>
          <w:bCs/>
          <w:sz w:val="32"/>
          <w:szCs w:val="32"/>
        </w:rPr>
        <w:t xml:space="preserve"> </w:t>
      </w:r>
      <w:r>
        <w:rPr>
          <w:rFonts w:ascii="黑体" w:hAnsi="黑体" w:eastAsia="黑体"/>
          <w:bCs/>
          <w:sz w:val="32"/>
          <w:szCs w:val="32"/>
        </w:rPr>
        <w:t xml:space="preserve"> </w:t>
      </w:r>
      <w:r>
        <w:rPr>
          <w:rFonts w:hint="eastAsia" w:ascii="仿宋_GB2312" w:hAnsi="仿宋_GB2312" w:eastAsia="仿宋_GB2312" w:cs="Times New Roman"/>
          <w:sz w:val="32"/>
          <w:szCs w:val="32"/>
        </w:rPr>
        <w:t>在评估周期内，当机场发生严格管理类指标事件后，管理局应当立即进行动态评估，采取相应的管理措施，并报民航局航空运输（通用航空）委员会办公室和航班时刻管理委员会办公室：</w:t>
      </w:r>
    </w:p>
    <w:p w14:paraId="3B95C2D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生机场责任原因的民用航空器事故，A、B类跑道侵入征候，机场内鸟击严重征候，外来物损伤航空器严重征候或者机场运行安全有关的严重失信行为的，暂停批准该机场除政府需求、国家重大航空运输保障任务以及两岸常态化包机以外的加班、临时经营航班和新增航线航班申请6个月。</w:t>
      </w:r>
    </w:p>
    <w:p w14:paraId="7B60B75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（2）发生严重净空管理事件的，暂停批准该机场除政府需求、国家重大航空运输保障任务以及两岸常态化包机以外的加班、临时经营航班和新增航线航班申请，至整改完成之日。</w:t>
      </w:r>
    </w:p>
    <w:p w14:paraId="644809C2">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 xml:space="preserve">第十六条  </w:t>
      </w:r>
      <w:r>
        <w:rPr>
          <w:rFonts w:hint="eastAsia" w:ascii="仿宋_GB2312" w:hAnsi="仿宋_GB2312" w:eastAsia="仿宋_GB2312" w:cs="Times New Roman"/>
          <w:sz w:val="32"/>
          <w:szCs w:val="32"/>
        </w:rPr>
        <w:t>在评估周期内，当机场发生的事件达到以下情形时，管理局应当立即进行动态评估，采取相应的管理措施，并报民航局航空运输（通用航空）委员会办公室和航班时刻管理委员会办公室：</w:t>
      </w:r>
    </w:p>
    <w:p w14:paraId="30311E40">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发生安全管理类指标中跑道侵入、无人机扰航、鸟击、外来物损伤航空器事件累计扣分达</w:t>
      </w:r>
      <w:r>
        <w:rPr>
          <w:rFonts w:ascii="仿宋_GB2312" w:hAnsi="仿宋_GB2312" w:eastAsia="仿宋_GB2312" w:cs="Times New Roman"/>
          <w:sz w:val="32"/>
          <w:szCs w:val="32"/>
        </w:rPr>
        <w:t>10分以上时，暂停批准该机场除政府需求、国家重大航空运输保障任务以外的加班、临时经</w:t>
      </w:r>
      <w:r>
        <w:rPr>
          <w:rFonts w:hint="eastAsia" w:ascii="仿宋_GB2312" w:hAnsi="仿宋_GB2312" w:eastAsia="仿宋_GB2312" w:cs="仿宋_GB2312"/>
          <w:sz w:val="32"/>
          <w:szCs w:val="32"/>
        </w:rPr>
        <w:t>营航班和新增航线航班申请3个月；累计扣分达到30分及以上时，在原有3个月管理措施的基础上，需再追加至少3个月的管理措施。</w:t>
      </w:r>
    </w:p>
    <w:p w14:paraId="4AB32340">
      <w:pPr>
        <w:spacing w:line="560" w:lineRule="exact"/>
        <w:ind w:firstLine="640" w:firstLineChars="200"/>
        <w:rPr>
          <w:rFonts w:hint="eastAsia" w:ascii="仿宋_GB2312" w:hAnsi="仿宋_GB2312" w:eastAsia="仿宋_GB2312" w:cs="仿宋_GB2312"/>
          <w:sz w:val="32"/>
          <w:szCs w:val="32"/>
        </w:rPr>
      </w:pPr>
      <w:r>
        <w:rPr>
          <w:rFonts w:hint="eastAsia" w:ascii="Times New Roman" w:hAnsi="Times New Roman" w:eastAsia="黑体"/>
          <w:bCs/>
          <w:sz w:val="32"/>
          <w:szCs w:val="32"/>
        </w:rPr>
        <w:t xml:space="preserve">第十七条 </w:t>
      </w:r>
      <w:r>
        <w:rPr>
          <w:rFonts w:ascii="Times New Roman" w:hAnsi="Times New Roman" w:eastAsia="黑体"/>
          <w:bCs/>
          <w:sz w:val="32"/>
          <w:szCs w:val="32"/>
        </w:rPr>
        <w:t xml:space="preserve"> </w:t>
      </w:r>
      <w:r>
        <w:rPr>
          <w:rFonts w:hint="eastAsia" w:ascii="仿宋_GB2312" w:hAnsi="仿宋_GB2312" w:eastAsia="仿宋_GB2312" w:cs="仿宋_GB2312"/>
          <w:sz w:val="32"/>
          <w:szCs w:val="32"/>
        </w:rPr>
        <w:t>在评估周期结束后，根据机场运行安全保障能力静态综合评估结果，管理局应当按照以下规则采取相应的管理措施，并报民航局航空运输（通用航空）委员会办公室和航班时刻管理委员会办公室：</w:t>
      </w:r>
    </w:p>
    <w:p w14:paraId="7F6F7E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估指数处于红色区间的，自评估结果公布后的下月起至下一航季结束，暂停批准该机场除政府需求、国家重大航空运输保障任务以及两岸常态化包机以外的加班、临时经营航班和新增航线航班申请。必要时可根据影响评估结果的主要原因</w:t>
      </w:r>
      <w:r>
        <w:rPr>
          <w:rFonts w:hint="eastAsia" w:ascii="仿宋_GB2312" w:hAnsi="仿宋_GB2312" w:eastAsia="仿宋_GB2312" w:cs="仿宋_GB2312"/>
          <w:sz w:val="32"/>
          <w:szCs w:val="32"/>
          <w:lang w:val="en-US" w:eastAsia="zh-CN"/>
        </w:rPr>
        <w:t>及有关规定要求</w:t>
      </w:r>
      <w:r>
        <w:rPr>
          <w:rFonts w:hint="eastAsia" w:ascii="仿宋_GB2312" w:hAnsi="仿宋_GB2312" w:eastAsia="仿宋_GB2312" w:cs="仿宋_GB2312"/>
          <w:sz w:val="32"/>
          <w:szCs w:val="32"/>
        </w:rPr>
        <w:t>，进一步采取</w:t>
      </w:r>
      <w:r>
        <w:rPr>
          <w:rFonts w:hint="eastAsia" w:ascii="仿宋_GB2312" w:hAnsi="仿宋_GB2312" w:eastAsia="仿宋_GB2312" w:cs="仿宋_GB2312"/>
          <w:sz w:val="32"/>
          <w:szCs w:val="32"/>
          <w:lang w:val="en-US" w:eastAsia="zh-CN"/>
        </w:rPr>
        <w:t>相应</w:t>
      </w:r>
      <w:r>
        <w:rPr>
          <w:rFonts w:hint="eastAsia" w:ascii="仿宋_GB2312" w:hAnsi="仿宋_GB2312" w:eastAsia="仿宋_GB2312" w:cs="仿宋_GB2312"/>
          <w:sz w:val="32"/>
          <w:szCs w:val="32"/>
        </w:rPr>
        <w:t>管理措施。</w:t>
      </w:r>
    </w:p>
    <w:p w14:paraId="27C938C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估指数处于黄色区间的，自评估结果公布后的下月起，连续3个月暂停批准该机场除政府需求、国家重大航空运输保障任务以及两岸常态化包机以外的加班、临时经营航班和新增航线航班申请。是否进一步采取其他管理措施由管理局根据影响评估结果的主要原因研究决定。</w:t>
      </w:r>
    </w:p>
    <w:p w14:paraId="7830C9B9">
      <w:pPr>
        <w:spacing w:line="560" w:lineRule="exact"/>
        <w:ind w:firstLine="640" w:firstLineChars="200"/>
        <w:rPr>
          <w:rFonts w:hint="eastAsia" w:ascii="仿宋_GB2312" w:hAnsi="仿宋_GB2312" w:eastAsia="仿宋_GB2312" w:cs="仿宋_GB2312"/>
          <w:sz w:val="32"/>
          <w:szCs w:val="32"/>
        </w:rPr>
      </w:pPr>
      <w:r>
        <w:rPr>
          <w:rFonts w:hint="eastAsia" w:ascii="Times New Roman" w:hAnsi="Times New Roman" w:eastAsia="黑体"/>
          <w:bCs/>
          <w:sz w:val="32"/>
          <w:szCs w:val="32"/>
        </w:rPr>
        <w:t>第十八条</w:t>
      </w:r>
      <w:r>
        <w:rPr>
          <w:rFonts w:ascii="Times New Roman" w:hAnsi="Times New Roman" w:eastAsia="仿宋_GB2312" w:cs="Times New Roman"/>
          <w:b/>
          <w:sz w:val="32"/>
          <w:szCs w:val="32"/>
        </w:rPr>
        <w:t xml:space="preserve">  </w:t>
      </w:r>
      <w:r>
        <w:rPr>
          <w:rFonts w:hint="eastAsia" w:ascii="仿宋_GB2312" w:hAnsi="仿宋_GB2312" w:eastAsia="仿宋_GB2312" w:cs="仿宋_GB2312"/>
          <w:sz w:val="32"/>
          <w:szCs w:val="32"/>
        </w:rPr>
        <w:t>对于进入红色和黄色区间的机场，管理局在向民航局报告评估结果时，应当根据第十七条的规定，同步研究拟采取的针对性管理措施。</w:t>
      </w:r>
    </w:p>
    <w:p w14:paraId="0504257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对于机场静态综合评估结果位于红色区间，在评估周期内已被管理局根据</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十五条采取相应管理措施的，不再采取新的管理措施；在评估周期内已被管理局根据</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十六条采取管理措施</w:t>
      </w:r>
      <w:r>
        <w:rPr>
          <w:rFonts w:hint="eastAsia" w:ascii="仿宋_GB2312" w:hAnsi="仿宋_GB2312" w:eastAsia="仿宋_GB2312" w:cs="仿宋_GB2312"/>
          <w:sz w:val="32"/>
          <w:szCs w:val="32"/>
          <w:lang w:val="en-US" w:eastAsia="zh-CN"/>
        </w:rPr>
        <w:t>不满6个月</w:t>
      </w:r>
      <w:r>
        <w:rPr>
          <w:rFonts w:hint="eastAsia" w:ascii="仿宋_GB2312" w:hAnsi="仿宋_GB2312" w:eastAsia="仿宋_GB2312" w:cs="仿宋_GB2312"/>
          <w:sz w:val="32"/>
          <w:szCs w:val="32"/>
        </w:rPr>
        <w:t>的，需再采取不少于3个月的管理措施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已采取6个月以上管理措施的，</w:t>
      </w:r>
      <w:r>
        <w:rPr>
          <w:rFonts w:hint="eastAsia" w:ascii="仿宋_GB2312" w:hAnsi="仿宋_GB2312" w:eastAsia="仿宋_GB2312" w:cs="仿宋_GB2312"/>
          <w:sz w:val="32"/>
          <w:szCs w:val="32"/>
        </w:rPr>
        <w:t>不再采取新的管理措施。</w:t>
      </w:r>
    </w:p>
    <w:p w14:paraId="03B920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对于机场静态综合评估结果位于黄色区间，在评估周期内已被管理局根据</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十六条采取相应管理措施的，不再采取新的管理措施。</w:t>
      </w:r>
    </w:p>
    <w:p w14:paraId="5B67241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相关管理措施应同步报民航局航空运输（通用航空）委员会办公室和航班时刻管理委员会办公室。</w:t>
      </w:r>
    </w:p>
    <w:p w14:paraId="5332912E">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黑体"/>
          <w:bCs/>
          <w:sz w:val="32"/>
          <w:szCs w:val="32"/>
        </w:rPr>
        <w:t xml:space="preserve">第十九条  </w:t>
      </w:r>
      <w:r>
        <w:rPr>
          <w:rFonts w:hint="eastAsia" w:ascii="仿宋_GB2312" w:hAnsi="仿宋_GB2312" w:eastAsia="仿宋_GB2312" w:cs="仿宋_GB2312"/>
          <w:sz w:val="32"/>
          <w:szCs w:val="32"/>
        </w:rPr>
        <w:t>对机场拟采取的管理措施涉及削减航空公司航班飞行总量的，管理局应当在民航局公布评估结果后10个工作日内，</w:t>
      </w:r>
      <w:r>
        <w:rPr>
          <w:rFonts w:hint="eastAsia" w:ascii="仿宋_GB2312" w:hAnsi="仿宋_GB2312" w:eastAsia="仿宋_GB2312" w:cs="仿宋_GB2312"/>
          <w:sz w:val="32"/>
          <w:szCs w:val="32"/>
          <w:highlight w:val="none"/>
        </w:rPr>
        <w:t>制定详细的削减方案</w:t>
      </w:r>
      <w:r>
        <w:rPr>
          <w:rFonts w:hint="eastAsia" w:ascii="仿宋_GB2312" w:hAnsi="仿宋_GB2312" w:eastAsia="仿宋_GB2312" w:cs="仿宋_GB2312"/>
          <w:sz w:val="32"/>
          <w:szCs w:val="32"/>
        </w:rPr>
        <w:t>，并报民航局航班时刻管理委员会办公室批准后实施。</w:t>
      </w:r>
    </w:p>
    <w:p w14:paraId="0C3B2C58">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在制定削减方案时，对于发生责任原因不安全事件导致机场运行安全保障指数扣分的航空公司，航班削减量占比可视情增加。</w:t>
      </w:r>
    </w:p>
    <w:p w14:paraId="3D838EF4">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黑体"/>
          <w:bCs/>
          <w:sz w:val="32"/>
          <w:szCs w:val="32"/>
        </w:rPr>
        <w:t xml:space="preserve">第二十条 </w:t>
      </w:r>
      <w:r>
        <w:rPr>
          <w:rFonts w:ascii="仿宋_GB2312" w:hAnsi="仿宋_GB2312" w:eastAsia="仿宋_GB2312"/>
          <w:bCs/>
          <w:sz w:val="32"/>
          <w:szCs w:val="32"/>
        </w:rPr>
        <w:t xml:space="preserve"> </w:t>
      </w:r>
      <w:r>
        <w:rPr>
          <w:rFonts w:hint="eastAsia" w:ascii="仿宋_GB2312" w:hAnsi="仿宋_GB2312" w:eastAsia="仿宋_GB2312" w:cs="仿宋_GB2312"/>
          <w:bCs/>
          <w:sz w:val="32"/>
          <w:szCs w:val="32"/>
        </w:rPr>
        <w:t>对于被实施暂停批准除政府需求、国家重大航空运输保障任务以外的加班、临时经营航班和新增航线航班申请管理措施的机场，管理措施实施期内涉及航班换季时，在机场总计划航班量不超过上一年度同期实际航班总量的情况下，可调整航线结构。</w:t>
      </w:r>
    </w:p>
    <w:p w14:paraId="711792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对于被实施削减航空公司航班飞行总量管理措施的机场，管理措施实施期内涉及航班换季时，在航班飞行总量不变的情况下，可调整航线结构。</w:t>
      </w:r>
    </w:p>
    <w:p w14:paraId="6B69DC26">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第二十一条</w:t>
      </w:r>
      <w:r>
        <w:rPr>
          <w:rFonts w:ascii="Times New Roman" w:hAnsi="Times New Roman" w:eastAsia="黑体"/>
          <w:bCs/>
          <w:sz w:val="32"/>
          <w:szCs w:val="32"/>
        </w:rPr>
        <w:t xml:space="preserve">  </w:t>
      </w:r>
      <w:r>
        <w:rPr>
          <w:rFonts w:hint="eastAsia" w:ascii="仿宋_GB2312" w:hAnsi="仿宋_GB2312" w:eastAsia="仿宋_GB2312" w:cs="Times New Roman"/>
          <w:sz w:val="32"/>
          <w:szCs w:val="32"/>
        </w:rPr>
        <w:t>管理措施的具体实施程序，按照民航局安委会对表彰、责任处理和航线航班限制事项的审议程序执行。</w:t>
      </w:r>
    </w:p>
    <w:p w14:paraId="4E2E6D89">
      <w:pPr>
        <w:spacing w:line="560" w:lineRule="exact"/>
        <w:ind w:firstLine="640" w:firstLineChars="200"/>
        <w:rPr>
          <w:rFonts w:ascii="仿宋_GB2312" w:hAnsi="仿宋_GB2312" w:eastAsia="仿宋_GB2312" w:cs="Times New Roman"/>
          <w:sz w:val="32"/>
          <w:szCs w:val="32"/>
        </w:rPr>
      </w:pPr>
      <w:r>
        <w:rPr>
          <w:rFonts w:hint="eastAsia" w:ascii="Times New Roman" w:hAnsi="Times New Roman" w:eastAsia="黑体"/>
          <w:bCs/>
          <w:sz w:val="32"/>
          <w:szCs w:val="32"/>
        </w:rPr>
        <w:t>第二十二条</w:t>
      </w:r>
      <w:r>
        <w:rPr>
          <w:rFonts w:hint="eastAsia" w:ascii="Times New Roman" w:hAnsi="Times New Roman" w:eastAsia="仿宋_GB2312" w:cs="Times New Roman"/>
          <w:b/>
          <w:sz w:val="32"/>
          <w:szCs w:val="32"/>
        </w:rPr>
        <w:t xml:space="preserve">  </w:t>
      </w:r>
      <w:r>
        <w:rPr>
          <w:rFonts w:hint="eastAsia" w:ascii="仿宋_GB2312" w:hAnsi="仿宋_GB2312" w:eastAsia="仿宋_GB2312" w:cs="Times New Roman"/>
          <w:sz w:val="32"/>
          <w:szCs w:val="32"/>
        </w:rPr>
        <w:t>因本办法被采取管理措施的机场，如同时也被民航</w:t>
      </w:r>
      <w:r>
        <w:rPr>
          <w:rFonts w:hint="eastAsia" w:ascii="仿宋_GB2312" w:hAnsi="仿宋_GB2312" w:eastAsia="仿宋_GB2312" w:cs="仿宋_GB2312"/>
          <w:sz w:val="32"/>
          <w:szCs w:val="32"/>
        </w:rPr>
        <w:t>局或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管理局采</w:t>
      </w:r>
      <w:r>
        <w:rPr>
          <w:rFonts w:hint="eastAsia" w:ascii="仿宋_GB2312" w:hAnsi="仿宋_GB2312" w:eastAsia="仿宋_GB2312" w:cs="Times New Roman"/>
          <w:sz w:val="32"/>
          <w:szCs w:val="32"/>
        </w:rPr>
        <w:t>取其他方面管理措施的，以较严厉的为准。</w:t>
      </w:r>
    </w:p>
    <w:p w14:paraId="662CF3F0">
      <w:pPr>
        <w:spacing w:line="560" w:lineRule="exact"/>
        <w:ind w:firstLine="640" w:firstLineChars="200"/>
        <w:rPr>
          <w:rFonts w:hint="eastAsia" w:ascii="仿宋_GB2312" w:hAnsi="仿宋_GB2312" w:eastAsia="仿宋_GB2312" w:cs="仿宋_GB2312"/>
          <w:sz w:val="32"/>
          <w:szCs w:val="32"/>
        </w:rPr>
      </w:pPr>
      <w:r>
        <w:rPr>
          <w:rFonts w:hint="eastAsia" w:ascii="Times New Roman" w:hAnsi="Times New Roman" w:eastAsia="黑体"/>
          <w:bCs/>
          <w:sz w:val="32"/>
          <w:szCs w:val="32"/>
        </w:rPr>
        <w:t>第二十三条</w:t>
      </w:r>
      <w:r>
        <w:rPr>
          <w:rFonts w:hint="eastAsia" w:ascii="Times New Roman" w:hAnsi="Times New Roman" w:eastAsia="仿宋_GB2312" w:cs="Times New Roman"/>
          <w:b/>
          <w:sz w:val="32"/>
          <w:szCs w:val="32"/>
        </w:rPr>
        <w:t xml:space="preserve">  </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应当积极督促</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切实落实统一协调管理职责，特别是对于进入红色和黄色区间的机场，督促其加强安全风险分级管控和隐患排查治理，切实提升机场综合保障能力。</w:t>
      </w:r>
    </w:p>
    <w:p w14:paraId="6B6D1924">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 xml:space="preserve">第二十四条  </w:t>
      </w:r>
      <w:r>
        <w:rPr>
          <w:rFonts w:hint="eastAsia" w:ascii="仿宋_GB2312" w:hAnsi="仿宋_GB2312" w:eastAsia="仿宋_GB2312" w:cs="仿宋_GB2312"/>
          <w:sz w:val="32"/>
          <w:szCs w:val="32"/>
        </w:rPr>
        <w:t>管理措施到期时，管理局应当及时开展评估整改复查，复查认为可以解除管理措施的，按期解除措施；复查认为不能解除管理措施的，继续采取相应措施，并报民航局。</w:t>
      </w:r>
    </w:p>
    <w:p w14:paraId="44ED8874">
      <w:pPr>
        <w:pStyle w:val="2"/>
        <w:keepNext/>
        <w:keepLines/>
        <w:pageBreakBefore w:val="0"/>
        <w:widowControl w:val="0"/>
        <w:kinsoku/>
        <w:wordWrap/>
        <w:overflowPunct/>
        <w:topLinePunct w:val="0"/>
        <w:autoSpaceDE/>
        <w:autoSpaceDN/>
        <w:bidi w:val="0"/>
        <w:adjustRightInd/>
        <w:snapToGrid/>
        <w:spacing w:before="156" w:beforeLines="50" w:after="156" w:afterLines="50" w:line="560" w:lineRule="exact"/>
        <w:ind w:firstLine="0"/>
        <w:jc w:val="center"/>
        <w:textAlignment w:val="auto"/>
        <w:rPr>
          <w:rFonts w:eastAsia="黑体"/>
          <w:b w:val="0"/>
          <w:sz w:val="32"/>
          <w:szCs w:val="32"/>
        </w:rPr>
      </w:pPr>
      <w:r>
        <w:rPr>
          <w:rFonts w:hint="eastAsia" w:eastAsia="黑体"/>
          <w:b w:val="0"/>
          <w:sz w:val="32"/>
          <w:szCs w:val="32"/>
        </w:rPr>
        <w:t>第四章 安全星级评定</w:t>
      </w:r>
    </w:p>
    <w:p w14:paraId="51E527D8">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 xml:space="preserve">第二十五条  </w:t>
      </w:r>
      <w:r>
        <w:rPr>
          <w:rFonts w:hint="eastAsia" w:ascii="仿宋_GB2312" w:hAnsi="仿宋_GB2312" w:eastAsia="仿宋_GB2312" w:cs="仿宋_GB2312"/>
          <w:sz w:val="32"/>
          <w:szCs w:val="32"/>
        </w:rPr>
        <w:t>民航局每年根据机场运行安全保障能力评估指数所处区间的连续保持记录时间和运行安全实际状况，开展“运输机场运行安全星级奖”评定工作。</w:t>
      </w:r>
    </w:p>
    <w:p w14:paraId="05AB4A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机场运行安全星级奖分为一星、二星、三星、四星、五星奖</w:t>
      </w:r>
      <w:r>
        <w:rPr>
          <w:rFonts w:hint="eastAsia" w:ascii="仿宋_GB2312" w:hAnsi="仿宋_GB2312" w:eastAsia="仿宋_GB2312" w:cs="仿宋_GB2312"/>
          <w:sz w:val="32"/>
          <w:szCs w:val="32"/>
          <w:highlight w:val="none"/>
        </w:rPr>
        <w:t>，其中A、B、C、D类机场适用于所有星级评定，E类机场仅适用一星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二星、三星</w:t>
      </w:r>
      <w:r>
        <w:rPr>
          <w:rFonts w:hint="eastAsia" w:ascii="仿宋_GB2312" w:hAnsi="仿宋_GB2312" w:eastAsia="仿宋_GB2312" w:cs="仿宋_GB2312"/>
          <w:sz w:val="32"/>
          <w:szCs w:val="32"/>
          <w:highlight w:val="none"/>
        </w:rPr>
        <w:t>奖评定</w:t>
      </w:r>
      <w:r>
        <w:rPr>
          <w:rFonts w:hint="eastAsia" w:ascii="仿宋_GB2312" w:hAnsi="仿宋_GB2312" w:eastAsia="仿宋_GB2312" w:cs="仿宋_GB2312"/>
          <w:sz w:val="32"/>
          <w:szCs w:val="32"/>
        </w:rPr>
        <w:t>。</w:t>
      </w:r>
    </w:p>
    <w:p w14:paraId="69C4599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机场运行安全星级评定工作包括晋级和降级。</w:t>
      </w:r>
    </w:p>
    <w:p w14:paraId="70694A6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 xml:space="preserve">第二十六条  </w:t>
      </w:r>
      <w:r>
        <w:rPr>
          <w:rFonts w:hint="eastAsia" w:ascii="仿宋_GB2312" w:hAnsi="仿宋_GB2312" w:eastAsia="仿宋_GB2312" w:cs="仿宋_GB2312"/>
          <w:sz w:val="32"/>
          <w:szCs w:val="32"/>
        </w:rPr>
        <w:t>机场运行安全星级</w:t>
      </w:r>
      <w:r>
        <w:rPr>
          <w:rFonts w:hint="eastAsia" w:ascii="仿宋_GB2312" w:hAnsi="仿宋_GB2312" w:eastAsia="仿宋_GB2312" w:cs="仿宋_GB2312"/>
          <w:b w:val="0"/>
          <w:bCs w:val="0"/>
          <w:sz w:val="32"/>
          <w:szCs w:val="32"/>
          <w:lang w:val="en-US" w:eastAsia="zh-CN"/>
        </w:rPr>
        <w:t>评定</w:t>
      </w:r>
      <w:r>
        <w:rPr>
          <w:rFonts w:hint="eastAsia" w:ascii="仿宋_GB2312" w:hAnsi="仿宋_GB2312" w:eastAsia="仿宋_GB2312" w:cs="仿宋_GB2312"/>
          <w:sz w:val="32"/>
          <w:szCs w:val="32"/>
        </w:rPr>
        <w:t>由民航局机场司负责开展考评、推荐，由民航局航空安全管理委员会审核批准后于每年度6月30日前统一公布。</w:t>
      </w:r>
    </w:p>
    <w:p w14:paraId="745A9E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管理局负责协助做好辖区内机场运行安全星级评定申报资料审核、评定结果确认和应用工作。</w:t>
      </w:r>
    </w:p>
    <w:p w14:paraId="6A091A49">
      <w:pPr>
        <w:widowControl/>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 xml:space="preserve">第二十七条  </w:t>
      </w:r>
      <w:r>
        <w:rPr>
          <w:rFonts w:hint="eastAsia" w:ascii="仿宋_GB2312" w:hAnsi="仿宋_GB2312" w:eastAsia="仿宋_GB2312" w:cs="仿宋_GB2312"/>
          <w:sz w:val="32"/>
          <w:szCs w:val="32"/>
        </w:rPr>
        <w:t>机场运行安全星级奖由申报单位于每年3月1日前填写申报登记表（附件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）提交至所在地管理局审核通过后，于3月31日前将申报材料报送至民航局机场司。</w:t>
      </w:r>
    </w:p>
    <w:p w14:paraId="2305BC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申报单位应当对申报材料的真实性负责，出现虚报、谎报、瞒报行为的，按照本办法附件2的严格管理类指标中“机场运行安全有关的严重失信行为”认定和处理。</w:t>
      </w:r>
    </w:p>
    <w:p w14:paraId="774295B7">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 xml:space="preserve">第二十八条  </w:t>
      </w:r>
      <w:r>
        <w:rPr>
          <w:rFonts w:hint="eastAsia" w:ascii="仿宋_GB2312" w:hAnsi="仿宋_GB2312" w:eastAsia="仿宋_GB2312" w:cs="仿宋_GB2312"/>
          <w:sz w:val="32"/>
          <w:szCs w:val="32"/>
        </w:rPr>
        <w:t>上一年度</w:t>
      </w:r>
      <w:r>
        <w:rPr>
          <w:rFonts w:hint="eastAsia" w:ascii="仿宋_GB2312" w:hAnsi="仿宋_GB2312" w:eastAsia="仿宋_GB2312" w:cs="仿宋_GB2312"/>
          <w:sz w:val="32"/>
          <w:szCs w:val="32"/>
          <w:highlight w:val="none"/>
          <w:lang w:val="en-US" w:eastAsia="zh-CN"/>
        </w:rPr>
        <w:t>起至提交申请之日，</w:t>
      </w:r>
      <w:r>
        <w:rPr>
          <w:rFonts w:hint="eastAsia" w:ascii="仿宋_GB2312" w:hAnsi="仿宋_GB2312" w:eastAsia="仿宋_GB2312" w:cs="仿宋_GB2312"/>
          <w:sz w:val="32"/>
          <w:szCs w:val="32"/>
        </w:rPr>
        <w:t>满足以下全部条件的机场，方可参与年度机场运行安全星级奖评</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工作：</w:t>
      </w:r>
    </w:p>
    <w:p w14:paraId="15E87D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（一）新建、</w:t>
      </w:r>
      <w:r>
        <w:rPr>
          <w:rFonts w:hint="eastAsia" w:ascii="仿宋_GB2312" w:hAnsi="仿宋_GB2312" w:eastAsia="仿宋_GB2312" w:cs="仿宋_GB2312"/>
          <w:sz w:val="32"/>
          <w:szCs w:val="32"/>
          <w:lang w:val="en-US" w:eastAsia="zh-CN"/>
        </w:rPr>
        <w:t>迁建</w:t>
      </w:r>
      <w:r>
        <w:rPr>
          <w:rFonts w:hint="eastAsia" w:ascii="仿宋_GB2312" w:hAnsi="仿宋_GB2312" w:eastAsia="仿宋_GB2312" w:cs="仿宋_GB2312"/>
          <w:sz w:val="32"/>
          <w:szCs w:val="32"/>
        </w:rPr>
        <w:t>机场开放使用满3年的（该条款仅适用于申请一星级评定）；</w:t>
      </w:r>
    </w:p>
    <w:p w14:paraId="3ACA60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发生</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调查认定的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责任原因民用航空器一般征候的；</w:t>
      </w:r>
    </w:p>
    <w:p w14:paraId="33D9353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（三）未发生</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调查认定的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责任原因民用航空器事故、民用航空器严重征候的；</w:t>
      </w:r>
    </w:p>
    <w:p w14:paraId="584C11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（四）未发生</w:t>
      </w:r>
      <w:r>
        <w:rPr>
          <w:rFonts w:hint="eastAsia" w:ascii="仿宋_GB2312" w:hAnsi="仿宋_GB2312" w:eastAsia="仿宋_GB2312" w:cs="仿宋_GB2312"/>
          <w:sz w:val="32"/>
          <w:szCs w:val="32"/>
          <w:highlight w:val="none"/>
        </w:rPr>
        <w:t>其他有关行政机关认定的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w:t>
      </w:r>
      <w:r>
        <w:rPr>
          <w:rFonts w:hint="eastAsia" w:ascii="仿宋_GB2312" w:hAnsi="仿宋_GB2312" w:eastAsia="仿宋_GB2312" w:cs="仿宋_GB2312"/>
          <w:sz w:val="32"/>
          <w:szCs w:val="32"/>
          <w:highlight w:val="none"/>
        </w:rPr>
        <w:t>一般及以上生产安全事故的</w:t>
      </w:r>
      <w:r>
        <w:rPr>
          <w:rFonts w:hint="eastAsia" w:ascii="仿宋_GB2312" w:hAnsi="仿宋_GB2312" w:eastAsia="仿宋_GB2312" w:cs="仿宋_GB2312"/>
          <w:sz w:val="32"/>
          <w:szCs w:val="32"/>
        </w:rPr>
        <w:t>；</w:t>
      </w:r>
    </w:p>
    <w:p w14:paraId="6B606C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（五）未发生</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责任原因其他造成较大社会影响的安全生产事件的；</w:t>
      </w:r>
    </w:p>
    <w:p w14:paraId="21EF4B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上一年度</w:t>
      </w:r>
      <w:r>
        <w:rPr>
          <w:rFonts w:hint="eastAsia" w:ascii="仿宋_GB2312" w:hAnsi="仿宋_GB2312" w:eastAsia="仿宋_GB2312" w:cs="仿宋_GB2312"/>
          <w:sz w:val="32"/>
          <w:szCs w:val="32"/>
        </w:rPr>
        <w:t>机场开放运行大于或等于270天的。</w:t>
      </w:r>
    </w:p>
    <w:p w14:paraId="1DACFA16">
      <w:pPr>
        <w:autoSpaceDE w:val="0"/>
        <w:autoSpaceDN w:val="0"/>
        <w:adjustRightInd w:val="0"/>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安全星级评定结果公布前，</w:t>
      </w:r>
      <w:r>
        <w:rPr>
          <w:rFonts w:hint="eastAsia" w:ascii="仿宋_GB2312" w:hAnsi="仿宋_GB2312" w:eastAsia="仿宋_GB2312" w:cs="仿宋_GB2312"/>
          <w:color w:val="auto"/>
          <w:sz w:val="32"/>
          <w:szCs w:val="32"/>
          <w:highlight w:val="none"/>
          <w:lang w:val="en-US" w:eastAsia="zh-CN"/>
        </w:rPr>
        <w:t>发生上述第（二）（三）（四）（五）款涉及情形的</w:t>
      </w:r>
      <w:r>
        <w:rPr>
          <w:rFonts w:hint="eastAsia" w:ascii="仿宋_GB2312" w:hAnsi="仿宋_GB2312" w:eastAsia="仿宋_GB2312" w:cs="仿宋_GB2312"/>
          <w:sz w:val="32"/>
          <w:szCs w:val="32"/>
          <w:highlight w:val="none"/>
          <w:lang w:val="en-US" w:eastAsia="zh-CN"/>
        </w:rPr>
        <w:t>机场</w:t>
      </w:r>
      <w:r>
        <w:rPr>
          <w:rFonts w:hint="eastAsia" w:ascii="仿宋_GB2312" w:hAnsi="仿宋_GB2312" w:eastAsia="仿宋_GB2312" w:cs="仿宋_GB2312"/>
          <w:sz w:val="32"/>
          <w:szCs w:val="32"/>
          <w:highlight w:val="none"/>
        </w:rPr>
        <w:t>，取消</w:t>
      </w:r>
      <w:r>
        <w:rPr>
          <w:rFonts w:hint="eastAsia" w:ascii="仿宋_GB2312" w:hAnsi="仿宋_GB2312" w:eastAsia="仿宋_GB2312" w:cs="仿宋_GB2312"/>
          <w:sz w:val="32"/>
          <w:szCs w:val="32"/>
          <w:highlight w:val="none"/>
          <w:lang w:val="en-US" w:eastAsia="zh-CN"/>
        </w:rPr>
        <w:t>本年度</w:t>
      </w:r>
      <w:r>
        <w:rPr>
          <w:rFonts w:hint="eastAsia" w:ascii="仿宋_GB2312" w:hAnsi="仿宋_GB2312" w:eastAsia="仿宋_GB2312" w:cs="仿宋_GB2312"/>
          <w:sz w:val="32"/>
          <w:szCs w:val="32"/>
          <w:highlight w:val="none"/>
        </w:rPr>
        <w:t>星级评定资格</w:t>
      </w:r>
      <w:r>
        <w:rPr>
          <w:rFonts w:hint="eastAsia" w:ascii="仿宋_GB2312" w:hAnsi="仿宋_GB2312" w:eastAsia="仿宋_GB2312" w:cs="仿宋_GB2312"/>
          <w:sz w:val="32"/>
          <w:szCs w:val="32"/>
          <w:highlight w:val="none"/>
          <w:lang w:eastAsia="zh-CN"/>
        </w:rPr>
        <w:t>。</w:t>
      </w:r>
    </w:p>
    <w:p w14:paraId="518F275F">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 xml:space="preserve">第二十九条  </w:t>
      </w:r>
      <w:r>
        <w:rPr>
          <w:rFonts w:hint="eastAsia" w:ascii="仿宋_GB2312" w:hAnsi="仿宋_GB2312" w:eastAsia="仿宋_GB2312" w:cs="仿宋_GB2312"/>
          <w:sz w:val="32"/>
          <w:szCs w:val="32"/>
        </w:rPr>
        <w:t>满足前述第二十八条规定条件的A、B、C、D、E类机场，若连续累计积分超过3分，可以向</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提出授予“机场运行安全一星奖”的申请。</w:t>
      </w:r>
    </w:p>
    <w:p w14:paraId="35C2E4EE">
      <w:pPr>
        <w:spacing w:line="56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仿宋"/>
          <w:sz w:val="32"/>
          <w:szCs w:val="32"/>
        </w:rPr>
        <w:t>第</w:t>
      </w:r>
      <w:r>
        <w:rPr>
          <w:rFonts w:ascii="黑体" w:hAnsi="黑体" w:eastAsia="黑体" w:cs="仿宋"/>
          <w:sz w:val="32"/>
          <w:szCs w:val="32"/>
        </w:rPr>
        <w:t>三十</w:t>
      </w:r>
      <w:r>
        <w:rPr>
          <w:rFonts w:hint="eastAsia" w:ascii="黑体" w:hAnsi="黑体" w:eastAsia="黑体" w:cs="仿宋"/>
          <w:sz w:val="32"/>
          <w:szCs w:val="32"/>
        </w:rPr>
        <w:t xml:space="preserve">条  </w:t>
      </w:r>
      <w:r>
        <w:rPr>
          <w:rFonts w:hint="eastAsia" w:ascii="仿宋_GB2312" w:hAnsi="仿宋_GB2312" w:eastAsia="仿宋_GB2312" w:cs="仿宋_GB2312"/>
          <w:sz w:val="32"/>
          <w:szCs w:val="32"/>
        </w:rPr>
        <w:t>机场运行安全星级奖评定的积分由运行安全保障能力评估结果积分和其他事项积分组成</w:t>
      </w:r>
      <w:r>
        <w:rPr>
          <w:rFonts w:hint="eastAsia" w:ascii="仿宋_GB2312" w:hAnsi="仿宋_GB2312" w:eastAsia="仿宋_GB2312" w:cs="仿宋_GB2312"/>
          <w:sz w:val="32"/>
          <w:szCs w:val="32"/>
          <w:lang w:eastAsia="zh-CN"/>
        </w:rPr>
        <w:t>。</w:t>
      </w:r>
    </w:p>
    <w:p w14:paraId="11A6EF22">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（一）机场运行安全保障能力评估结果积分</w:t>
      </w:r>
      <w:r>
        <w:rPr>
          <w:rFonts w:hint="eastAsia" w:ascii="仿宋_GB2312" w:hAnsi="仿宋_GB2312" w:eastAsia="仿宋_GB2312" w:cs="仿宋_GB2312"/>
          <w:sz w:val="32"/>
          <w:szCs w:val="32"/>
          <w:lang w:val="en-US" w:eastAsia="zh-CN"/>
        </w:rPr>
        <w:t>规则如下：</w:t>
      </w:r>
    </w:p>
    <w:p w14:paraId="26502FC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根据上一年度内每次机场运行安全保障能力评估结果，按照如下计算规则进行原始赋分和实际积分。</w:t>
      </w:r>
    </w:p>
    <w:p w14:paraId="718F05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机场运行安全保障能力评估指数进入绿色区间且得分≥98分的，每有1次，赋1分；</w:t>
      </w:r>
    </w:p>
    <w:p w14:paraId="2C8C233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机场运行安全保障能力评估指数进入绿色区间且得分位于[95,98）区间的，每有1次，赋0.5分；</w:t>
      </w:r>
    </w:p>
    <w:p w14:paraId="2BF969F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机场运行安全保障能力评估指数进入绿色区间且得分位于[93,95）区间的，每有1次，赋0分；</w:t>
      </w:r>
    </w:p>
    <w:p w14:paraId="2A56B4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机场运行安全保障能力评估指数进入绿色区间但得分位于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90,93）区间的，每有1次，赋-0.5分；</w:t>
      </w:r>
    </w:p>
    <w:p w14:paraId="449319F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机场运行安全保障能力评估指数列入黄色区间且得分位于[80,90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区间的，每有1次，赋-1分；</w:t>
      </w:r>
    </w:p>
    <w:p w14:paraId="3AC8799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机场运行安全保障能力评估指数列入黄色区间且得分位于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70,80）区间的，每有1次，赋-2分；</w:t>
      </w:r>
    </w:p>
    <w:p w14:paraId="2EB537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机场运行安全保障能力评估指数进入红色区间的，每有1次，赋-3分。</w:t>
      </w:r>
    </w:p>
    <w:p w14:paraId="4E49F2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依据机场运行安全保障能力评估结果的实际积分=原始赋分*积分调整系数（其中，A、B、C、D、E类机场加分时的积分调整系数分别为1.0、</w:t>
      </w:r>
      <w:r>
        <w:rPr>
          <w:rFonts w:hint="eastAsia" w:ascii="仿宋_GB2312" w:hAnsi="仿宋_GB2312" w:eastAsia="仿宋_GB2312" w:cs="仿宋_GB2312"/>
          <w:sz w:val="32"/>
          <w:szCs w:val="32"/>
          <w:lang w:val="en-US" w:eastAsia="zh-CN"/>
        </w:rPr>
        <w:t>0.9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；扣分时的积分调整系数均为1.0）。</w:t>
      </w:r>
    </w:p>
    <w:p w14:paraId="0B356769">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上一年度机场开放运行不满270天的，不予赋分。</w:t>
      </w:r>
    </w:p>
    <w:p w14:paraId="65C9CA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（二）其他事项积分</w:t>
      </w:r>
      <w:r>
        <w:rPr>
          <w:rFonts w:hint="eastAsia" w:ascii="仿宋_GB2312" w:hAnsi="仿宋_GB2312" w:eastAsia="仿宋_GB2312" w:cs="仿宋_GB2312"/>
          <w:sz w:val="32"/>
          <w:szCs w:val="32"/>
          <w:lang w:val="en-US" w:eastAsia="zh-CN"/>
        </w:rPr>
        <w:t>规则如下：</w:t>
      </w:r>
    </w:p>
    <w:p w14:paraId="63E07F26">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（1）在机场运行安全管理、</w:t>
      </w:r>
      <w:r>
        <w:rPr>
          <w:rFonts w:hint="eastAsia" w:ascii="仿宋_GB2312" w:hAnsi="仿宋_GB2312" w:eastAsia="仿宋_GB2312" w:cs="仿宋_GB2312"/>
          <w:sz w:val="32"/>
          <w:szCs w:val="32"/>
          <w:highlight w:val="none"/>
        </w:rPr>
        <w:t>航空器突发事件应急救援过程中表现突出，受到民航局、管理局表彰和通报表扬的，每有一次赋0.5分。</w:t>
      </w:r>
    </w:p>
    <w:p w14:paraId="4CF17B82">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）在机场运行安全管理、航空器突发事件应急救援过程中出现重大过失，受到民航局、管理局通报批评的，每有一次赋-1.0分。</w:t>
      </w:r>
    </w:p>
    <w:p w14:paraId="2333F6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机场运营人</w:t>
      </w:r>
      <w:r>
        <w:rPr>
          <w:rFonts w:hint="eastAsia" w:ascii="仿宋_GB2312" w:hAnsi="仿宋_GB2312" w:eastAsia="仿宋_GB2312" w:cs="仿宋_GB2312"/>
          <w:sz w:val="32"/>
          <w:szCs w:val="32"/>
          <w:highlight w:val="none"/>
        </w:rPr>
        <w:t>可以根据自己的实际情况，</w:t>
      </w:r>
      <w:r>
        <w:rPr>
          <w:rFonts w:hint="eastAsia" w:ascii="仿宋_GB2312" w:hAnsi="仿宋_GB2312" w:eastAsia="仿宋_GB2312" w:cs="仿宋_GB2312"/>
          <w:sz w:val="32"/>
          <w:szCs w:val="32"/>
        </w:rPr>
        <w:t>向管理局请示认定；特殊情况下，可向民航局请示认定。</w:t>
      </w:r>
    </w:p>
    <w:p w14:paraId="524C39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机场运行安全星级奖实际积分为依据机场运行安全保障能力评估结果积分和依据其他事项积分的和。</w:t>
      </w:r>
    </w:p>
    <w:p w14:paraId="3FCA8E51">
      <w:pPr>
        <w:spacing w:line="560" w:lineRule="exact"/>
        <w:ind w:firstLine="640" w:firstLineChars="200"/>
        <w:rPr>
          <w:rFonts w:ascii="仿宋_GB2312" w:hAnsi="仿宋_GB2312" w:eastAsia="仿宋_GB2312" w:cs="仿宋_GB2312"/>
          <w:sz w:val="32"/>
          <w:szCs w:val="32"/>
        </w:rPr>
      </w:pPr>
      <w:r>
        <w:rPr>
          <w:rFonts w:hint="eastAsia" w:ascii="黑体" w:hAnsi="黑体" w:eastAsia="黑体" w:cs="仿宋"/>
          <w:sz w:val="32"/>
          <w:szCs w:val="32"/>
        </w:rPr>
        <w:t xml:space="preserve">第三十一条  </w:t>
      </w:r>
      <w:r>
        <w:rPr>
          <w:rFonts w:hint="eastAsia" w:ascii="仿宋_GB2312" w:hAnsi="仿宋_GB2312" w:eastAsia="仿宋_GB2312" w:cs="仿宋_GB2312"/>
          <w:sz w:val="32"/>
          <w:szCs w:val="32"/>
        </w:rPr>
        <w:t>机场运行安全星级奖评定的星级晋级管理按照如下规则执行：</w:t>
      </w:r>
    </w:p>
    <w:p w14:paraId="2A719F5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当前星级上，如机场自上次星级评定申报结果截止时间开始，累计积分达到或者超过3分的，本年度可以申请晋升一个星级，星级晋级后积分自动清零；累积达到五星级后不再星级晋升，但星级降级规则继续适用。</w:t>
      </w:r>
    </w:p>
    <w:p w14:paraId="129DAFB3">
      <w:pPr>
        <w:spacing w:line="560" w:lineRule="exact"/>
        <w:ind w:firstLine="640" w:firstLineChars="200"/>
        <w:rPr>
          <w:rFonts w:ascii="仿宋_GB2312" w:hAnsi="仿宋_GB2312" w:eastAsia="仿宋_GB2312" w:cs="仿宋_GB2312"/>
          <w:sz w:val="32"/>
          <w:szCs w:val="32"/>
        </w:rPr>
      </w:pPr>
      <w:r>
        <w:rPr>
          <w:rFonts w:hint="eastAsia" w:ascii="黑体" w:hAnsi="黑体" w:eastAsia="黑体" w:cs="仿宋"/>
          <w:sz w:val="32"/>
          <w:szCs w:val="32"/>
        </w:rPr>
        <w:t xml:space="preserve">第三十二条  </w:t>
      </w:r>
      <w:r>
        <w:rPr>
          <w:rFonts w:hint="eastAsia" w:ascii="仿宋_GB2312" w:hAnsi="仿宋_GB2312" w:eastAsia="仿宋_GB2312" w:cs="仿宋_GB2312"/>
          <w:sz w:val="32"/>
          <w:szCs w:val="32"/>
        </w:rPr>
        <w:t>机场运行安全星级奖评定的星级降级管理按照如下规则执行：</w:t>
      </w:r>
    </w:p>
    <w:p w14:paraId="4E4B90B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当前星级上，如机场自上次星级评定申报结果截止时间开始，累计积分达到或者低于-3分的，星级评定自动降一个星级，星级降级后积分自动清零；如当前为一星级，则直接撤销该一星奖，重新开始运行安全星级评定条件的计算。</w:t>
      </w:r>
    </w:p>
    <w:p w14:paraId="7BB77B6A">
      <w:pPr>
        <w:spacing w:line="56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仿宋"/>
          <w:sz w:val="32"/>
          <w:szCs w:val="32"/>
          <w:lang w:val="en-US" w:eastAsia="zh-CN"/>
        </w:rPr>
        <w:t>第三十三条</w:t>
      </w:r>
      <w:r>
        <w:rPr>
          <w:rFonts w:hint="eastAsia" w:ascii="仿宋_GB2312" w:hAnsi="仿宋_GB2312" w:eastAsia="仿宋_GB2312" w:cs="仿宋_GB2312"/>
          <w:sz w:val="32"/>
          <w:szCs w:val="32"/>
          <w:lang w:val="en-US" w:eastAsia="zh-CN"/>
        </w:rPr>
        <w:t xml:space="preserve">  满足第二十八条规定以及以下全部条件的A、B类机场，在首次向民航行政机关申请星级评定时，</w:t>
      </w:r>
      <w:r>
        <w:rPr>
          <w:rFonts w:hint="eastAsia" w:ascii="仿宋_GB2312" w:hAnsi="仿宋_GB2312" w:eastAsia="仿宋_GB2312" w:cs="仿宋_GB2312"/>
          <w:sz w:val="32"/>
          <w:szCs w:val="32"/>
        </w:rPr>
        <w:t>可以</w:t>
      </w:r>
      <w:r>
        <w:rPr>
          <w:rFonts w:hint="eastAsia" w:ascii="仿宋_GB2312" w:hAnsi="仿宋_GB2312" w:eastAsia="仿宋_GB2312" w:cs="仿宋_GB2312"/>
          <w:sz w:val="32"/>
          <w:szCs w:val="32"/>
          <w:lang w:val="en-US" w:eastAsia="zh-CN"/>
        </w:rPr>
        <w:t>直接</w:t>
      </w:r>
      <w:r>
        <w:rPr>
          <w:rFonts w:hint="eastAsia" w:ascii="仿宋_GB2312" w:hAnsi="仿宋_GB2312" w:eastAsia="仿宋_GB2312" w:cs="仿宋_GB2312"/>
          <w:sz w:val="32"/>
          <w:szCs w:val="32"/>
        </w:rPr>
        <w:t>提出授予“机场运行安全</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星奖”的申请</w:t>
      </w:r>
      <w:r>
        <w:rPr>
          <w:rFonts w:hint="eastAsia" w:ascii="仿宋_GB2312" w:hAnsi="仿宋_GB2312" w:eastAsia="仿宋_GB2312" w:cs="仿宋_GB2312"/>
          <w:sz w:val="32"/>
          <w:szCs w:val="32"/>
          <w:lang w:eastAsia="zh-CN"/>
        </w:rPr>
        <w:t>：</w:t>
      </w:r>
    </w:p>
    <w:p w14:paraId="24B1904D">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（一）上两个年度未发生机场运营人责任原因民用航空器一般以上征候的。</w:t>
      </w:r>
    </w:p>
    <w:p w14:paraId="4E19E34F">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A类机场上三个年度机场运行安全保障能力评估指数均高于96分（含）、B类机场上三个年度机场运行安全保障能力评估指数均高于98分（含），且未因其他机场运行保障原因被民航局或者管理局采取有关管理措施的。</w:t>
      </w:r>
    </w:p>
    <w:p w14:paraId="6307F3F2">
      <w:pPr>
        <w:autoSpaceDE w:val="0"/>
        <w:autoSpaceDN w:val="0"/>
        <w:adjustRightInd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仿宋"/>
          <w:sz w:val="32"/>
          <w:szCs w:val="32"/>
        </w:rPr>
        <w:t>第三十</w:t>
      </w:r>
      <w:r>
        <w:rPr>
          <w:rFonts w:hint="default" w:ascii="黑体" w:hAnsi="黑体" w:eastAsia="黑体" w:cs="仿宋"/>
          <w:sz w:val="32"/>
          <w:szCs w:val="32"/>
          <w:lang w:val="en-US"/>
        </w:rPr>
        <w:t>四</w:t>
      </w:r>
      <w:r>
        <w:rPr>
          <w:rFonts w:hint="eastAsia" w:ascii="黑体" w:hAnsi="黑体" w:eastAsia="黑体" w:cs="仿宋"/>
          <w:sz w:val="32"/>
          <w:szCs w:val="32"/>
        </w:rPr>
        <w:t xml:space="preserve">条  </w:t>
      </w:r>
      <w:r>
        <w:rPr>
          <w:rFonts w:hint="eastAsia" w:ascii="仿宋_GB2312" w:hAnsi="仿宋_GB2312" w:eastAsia="仿宋_GB2312" w:cs="仿宋_GB2312"/>
          <w:sz w:val="32"/>
          <w:szCs w:val="32"/>
        </w:rPr>
        <w:t>民航局每年定期公布机场运行安全星级奖评定结果，并按照《强化民航安全治理合力通报安全状况的管理程序》将结果发该机场所在地县级以上地方人民政府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国防动员委员会联合办公室</w:t>
      </w:r>
      <w:r>
        <w:rPr>
          <w:rFonts w:hint="eastAsia" w:ascii="仿宋_GB2312" w:hAnsi="仿宋_GB2312" w:eastAsia="仿宋_GB2312" w:cs="仿宋_GB2312"/>
          <w:sz w:val="32"/>
          <w:szCs w:val="32"/>
        </w:rPr>
        <w:t>，属于军民合用机场的同步发给相关军种参谋部和后勤部。</w:t>
      </w:r>
    </w:p>
    <w:p w14:paraId="2C9CF37B">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仿宋"/>
          <w:sz w:val="32"/>
          <w:szCs w:val="32"/>
        </w:rPr>
        <w:t>第三十</w:t>
      </w:r>
      <w:r>
        <w:rPr>
          <w:rFonts w:hint="default" w:ascii="黑体" w:hAnsi="黑体" w:eastAsia="黑体" w:cs="仿宋"/>
          <w:sz w:val="32"/>
          <w:szCs w:val="32"/>
          <w:lang w:val="en-US"/>
        </w:rPr>
        <w:t>五</w:t>
      </w:r>
      <w:r>
        <w:rPr>
          <w:rFonts w:hint="eastAsia" w:ascii="黑体" w:hAnsi="黑体" w:eastAsia="黑体" w:cs="仿宋"/>
          <w:sz w:val="32"/>
          <w:szCs w:val="32"/>
        </w:rPr>
        <w:t xml:space="preserve">条  </w:t>
      </w:r>
      <w:r>
        <w:rPr>
          <w:rFonts w:hint="eastAsia" w:ascii="仿宋_GB2312" w:hAnsi="仿宋_GB2312" w:eastAsia="仿宋_GB2312" w:cs="仿宋_GB2312"/>
          <w:sz w:val="32"/>
          <w:szCs w:val="32"/>
        </w:rPr>
        <w:t>管理局可以根据机场运行安全星级奖评定结果，对辖区内运行安全管理工作表现突出的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给予通报嘉奖。</w:t>
      </w:r>
    </w:p>
    <w:p w14:paraId="049874D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鼓励和支持获得机场运行安全星级奖晋级的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及其上级管理单位制定本单位的机场运行安全奖励实施细则，并根据民航局公布的评定结果对承担机场运行安全管理工作的相关负责人和部门、站（队）、班组给予荣誉和物质奖励。</w:t>
      </w:r>
    </w:p>
    <w:p w14:paraId="2198200E">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第三十</w:t>
      </w:r>
      <w:r>
        <w:rPr>
          <w:rFonts w:hint="default" w:ascii="黑体" w:hAnsi="黑体" w:eastAsia="黑体"/>
          <w:sz w:val="32"/>
          <w:szCs w:val="32"/>
          <w:lang w:val="en-US"/>
        </w:rPr>
        <w:t>六</w:t>
      </w:r>
      <w:r>
        <w:rPr>
          <w:rFonts w:hint="eastAsia" w:ascii="黑体" w:hAnsi="黑体" w:eastAsia="黑体"/>
          <w:sz w:val="32"/>
          <w:szCs w:val="32"/>
        </w:rPr>
        <w:t>条</w:t>
      </w:r>
      <w:r>
        <w:rPr>
          <w:rFonts w:ascii="黑体" w:hAnsi="黑体" w:eastAsia="黑体"/>
          <w:sz w:val="32"/>
          <w:szCs w:val="32"/>
        </w:rPr>
        <w:t xml:space="preserve">  </w:t>
      </w:r>
      <w:r>
        <w:rPr>
          <w:rFonts w:hint="eastAsia" w:ascii="仿宋_GB2312" w:hAnsi="仿宋_GB2312" w:eastAsia="仿宋_GB2312" w:cs="仿宋_GB2312"/>
          <w:sz w:val="32"/>
          <w:szCs w:val="32"/>
        </w:rPr>
        <w:t>机场如出现以下情形的，机场运行安全星级奖直接撤销清零，并由民航局向行业通报：</w:t>
      </w:r>
    </w:p>
    <w:p w14:paraId="454C2B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调查认定的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责任原因民用航空器事故、民用航空器严重征候的；</w:t>
      </w:r>
    </w:p>
    <w:p w14:paraId="02384B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w:t>
      </w:r>
      <w:r>
        <w:rPr>
          <w:rFonts w:hint="eastAsia" w:ascii="仿宋_GB2312" w:hAnsi="仿宋_GB2312" w:eastAsia="仿宋_GB2312" w:cs="仿宋_GB2312"/>
          <w:sz w:val="32"/>
          <w:szCs w:val="32"/>
          <w:highlight w:val="none"/>
        </w:rPr>
        <w:t>其他有关行政机关认定的</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w:t>
      </w:r>
      <w:r>
        <w:rPr>
          <w:rFonts w:hint="eastAsia" w:ascii="仿宋_GB2312" w:hAnsi="仿宋_GB2312" w:eastAsia="仿宋_GB2312" w:cs="仿宋_GB2312"/>
          <w:sz w:val="32"/>
          <w:szCs w:val="32"/>
          <w:highlight w:val="none"/>
        </w:rPr>
        <w:t>因一般及以上生产安全事故</w:t>
      </w:r>
      <w:r>
        <w:rPr>
          <w:rFonts w:hint="eastAsia" w:ascii="仿宋_GB2312" w:hAnsi="仿宋_GB2312" w:eastAsia="仿宋_GB2312" w:cs="仿宋_GB2312"/>
          <w:sz w:val="32"/>
          <w:szCs w:val="32"/>
        </w:rPr>
        <w:t>的；</w:t>
      </w:r>
    </w:p>
    <w:p w14:paraId="572C56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责任原因其他造成较大社会影响的安全生产事件的。</w:t>
      </w:r>
    </w:p>
    <w:p w14:paraId="7413AD16">
      <w:pPr>
        <w:pStyle w:val="2"/>
        <w:spacing w:before="156" w:beforeLines="50" w:after="156" w:afterLines="50" w:line="560" w:lineRule="exact"/>
        <w:ind w:firstLine="640"/>
        <w:jc w:val="center"/>
        <w:rPr>
          <w:rFonts w:eastAsia="黑体"/>
          <w:b w:val="0"/>
          <w:sz w:val="32"/>
          <w:szCs w:val="32"/>
        </w:rPr>
      </w:pPr>
      <w:r>
        <w:rPr>
          <w:rFonts w:eastAsia="黑体"/>
          <w:b w:val="0"/>
          <w:sz w:val="32"/>
          <w:szCs w:val="32"/>
        </w:rPr>
        <w:t>第</w:t>
      </w:r>
      <w:r>
        <w:rPr>
          <w:rFonts w:hint="eastAsia" w:eastAsia="黑体"/>
          <w:b w:val="0"/>
          <w:sz w:val="32"/>
          <w:szCs w:val="32"/>
        </w:rPr>
        <w:t>五</w:t>
      </w:r>
      <w:r>
        <w:rPr>
          <w:rFonts w:eastAsia="黑体"/>
          <w:b w:val="0"/>
          <w:sz w:val="32"/>
          <w:szCs w:val="32"/>
        </w:rPr>
        <w:t>章</w:t>
      </w:r>
      <w:r>
        <w:rPr>
          <w:rFonts w:hint="eastAsia" w:eastAsia="黑体"/>
          <w:b w:val="0"/>
          <w:sz w:val="32"/>
          <w:szCs w:val="32"/>
        </w:rPr>
        <w:t xml:space="preserve">  </w:t>
      </w:r>
      <w:r>
        <w:rPr>
          <w:rFonts w:eastAsia="黑体"/>
          <w:b w:val="0"/>
          <w:sz w:val="32"/>
          <w:szCs w:val="32"/>
        </w:rPr>
        <w:t>附</w:t>
      </w:r>
      <w:r>
        <w:rPr>
          <w:rFonts w:hint="eastAsia" w:eastAsia="黑体"/>
          <w:b w:val="0"/>
          <w:sz w:val="32"/>
          <w:szCs w:val="32"/>
        </w:rPr>
        <w:t xml:space="preserve">  </w:t>
      </w:r>
      <w:r>
        <w:rPr>
          <w:rFonts w:eastAsia="黑体"/>
          <w:b w:val="0"/>
          <w:sz w:val="32"/>
          <w:szCs w:val="32"/>
        </w:rPr>
        <w:t>则</w:t>
      </w:r>
    </w:p>
    <w:p w14:paraId="77B75C6A">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sz w:val="32"/>
          <w:szCs w:val="32"/>
          <w:highlight w:val="none"/>
        </w:rPr>
        <w:t>第三十</w:t>
      </w:r>
      <w:r>
        <w:rPr>
          <w:rFonts w:hint="default" w:ascii="黑体" w:hAnsi="黑体" w:eastAsia="黑体"/>
          <w:sz w:val="32"/>
          <w:szCs w:val="32"/>
          <w:lang w:val="en-US"/>
        </w:rPr>
        <w:t>七</w:t>
      </w:r>
      <w:r>
        <w:rPr>
          <w:rFonts w:hint="eastAsia" w:ascii="黑体" w:hAnsi="黑体" w:eastAsia="黑体"/>
          <w:sz w:val="32"/>
          <w:szCs w:val="32"/>
          <w:highlight w:val="none"/>
        </w:rPr>
        <w:t xml:space="preserve">条  </w:t>
      </w:r>
      <w:r>
        <w:rPr>
          <w:rFonts w:hint="eastAsia" w:ascii="仿宋_GB2312" w:hAnsi="仿宋_GB2312" w:eastAsia="仿宋_GB2312" w:cs="仿宋_GB2312"/>
          <w:sz w:val="32"/>
          <w:szCs w:val="32"/>
          <w:highlight w:val="none"/>
        </w:rPr>
        <w:t>因军方责任造成的严格管理类及安全管理类指标所规定的事件，按照</w:t>
      </w:r>
      <w:r>
        <w:rPr>
          <w:rFonts w:hint="eastAsia" w:ascii="仿宋_GB2312" w:hAnsi="仿宋_GB2312" w:eastAsia="仿宋_GB2312" w:cs="仿宋_GB2312"/>
          <w:sz w:val="32"/>
          <w:szCs w:val="32"/>
          <w:highlight w:val="none"/>
          <w:lang w:eastAsia="zh-CN"/>
        </w:rPr>
        <w:t>机场运营人</w:t>
      </w:r>
      <w:r>
        <w:rPr>
          <w:rFonts w:hint="eastAsia" w:ascii="仿宋_GB2312" w:hAnsi="仿宋_GB2312" w:eastAsia="仿宋_GB2312" w:cs="仿宋_GB2312"/>
          <w:sz w:val="32"/>
          <w:szCs w:val="32"/>
          <w:highlight w:val="none"/>
        </w:rPr>
        <w:t>主责事件扣分标准</w:t>
      </w:r>
      <w:r>
        <w:rPr>
          <w:rFonts w:hint="eastAsia" w:ascii="仿宋_GB2312" w:hAnsi="仿宋_GB2312" w:eastAsia="仿宋_GB2312" w:cs="仿宋_GB2312"/>
          <w:sz w:val="32"/>
          <w:szCs w:val="32"/>
          <w:highlight w:val="none"/>
          <w:lang w:val="en-US" w:eastAsia="zh-CN"/>
        </w:rPr>
        <w:t>的80%</w:t>
      </w:r>
      <w:r>
        <w:rPr>
          <w:rFonts w:hint="eastAsia" w:ascii="仿宋_GB2312" w:hAnsi="仿宋_GB2312" w:eastAsia="仿宋_GB2312" w:cs="仿宋_GB2312"/>
          <w:sz w:val="32"/>
          <w:szCs w:val="32"/>
          <w:highlight w:val="none"/>
        </w:rPr>
        <w:t>执行</w:t>
      </w:r>
      <w:r>
        <w:rPr>
          <w:rFonts w:hint="eastAsia" w:ascii="仿宋_GB2312" w:hAnsi="仿宋_GB2312" w:eastAsia="仿宋_GB2312" w:cs="仿宋_GB2312"/>
          <w:sz w:val="32"/>
          <w:szCs w:val="32"/>
        </w:rPr>
        <w:t>。</w:t>
      </w:r>
    </w:p>
    <w:p w14:paraId="1776CC4B">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黑体"/>
          <w:bCs/>
          <w:sz w:val="32"/>
          <w:szCs w:val="32"/>
        </w:rPr>
        <w:t>第三十</w:t>
      </w:r>
      <w:r>
        <w:rPr>
          <w:rFonts w:hint="default" w:ascii="Times New Roman" w:hAnsi="Times New Roman" w:eastAsia="黑体"/>
          <w:bCs/>
          <w:sz w:val="32"/>
          <w:szCs w:val="32"/>
          <w:lang w:val="en-US"/>
        </w:rPr>
        <w:t>八</w:t>
      </w:r>
      <w:r>
        <w:rPr>
          <w:rFonts w:hint="eastAsia" w:ascii="Times New Roman" w:hAnsi="Times New Roman" w:eastAsia="黑体"/>
          <w:bCs/>
          <w:sz w:val="32"/>
          <w:szCs w:val="32"/>
        </w:rPr>
        <w:t>条</w:t>
      </w:r>
      <w:r>
        <w:rPr>
          <w:rFonts w:hint="eastAsia" w:ascii="Times New Roman" w:hAnsi="Times New Roman" w:eastAsia="仿宋_GB2312" w:cs="Times New Roman"/>
          <w:b/>
          <w:sz w:val="32"/>
          <w:szCs w:val="32"/>
        </w:rPr>
        <w:t xml:space="preserve">  </w:t>
      </w:r>
      <w:r>
        <w:rPr>
          <w:rFonts w:hint="eastAsia" w:ascii="仿宋_GB2312" w:hAnsi="仿宋_GB2312" w:eastAsia="仿宋_GB2312" w:cs="仿宋_GB2312"/>
          <w:sz w:val="32"/>
          <w:szCs w:val="32"/>
        </w:rPr>
        <w:t>本办法自202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年X月1日起施行。原民航局机场司发布的《民用运输机场运行安全保障能力综合评估管理办法》（民航规〔2021〕20号）同时废止。</w:t>
      </w:r>
    </w:p>
    <w:p w14:paraId="438824A0">
      <w:pPr>
        <w:spacing w:line="560" w:lineRule="exact"/>
        <w:rPr>
          <w:rFonts w:ascii="Times New Roman" w:hAnsi="Times New Roman" w:eastAsia="黑体"/>
          <w:bCs/>
          <w:sz w:val="32"/>
          <w:szCs w:val="32"/>
        </w:rPr>
      </w:pPr>
      <w:r>
        <w:rPr>
          <w:rFonts w:hint="eastAsia" w:ascii="Times New Roman" w:hAnsi="Times New Roman" w:eastAsia="仿宋_GB2312"/>
          <w:sz w:val="32"/>
          <w:szCs w:val="32"/>
        </w:rPr>
        <w:br w:type="page"/>
      </w:r>
      <w:r>
        <w:rPr>
          <w:rFonts w:hint="eastAsia" w:ascii="Times New Roman" w:hAnsi="Times New Roman" w:eastAsia="黑体"/>
          <w:bCs/>
          <w:sz w:val="32"/>
          <w:szCs w:val="32"/>
        </w:rPr>
        <w:t>附件一</w:t>
      </w:r>
    </w:p>
    <w:p w14:paraId="58F1DD9F">
      <w:pPr>
        <w:spacing w:after="156" w:afterLines="50" w:line="560" w:lineRule="exact"/>
        <w:ind w:firstLine="880"/>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适用于本办法的术语</w:t>
      </w:r>
    </w:p>
    <w:p w14:paraId="51D012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指标体系：本办法中设定的评估指标、计分方法及权重。</w:t>
      </w:r>
    </w:p>
    <w:p w14:paraId="3658F3E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机场运行安全保障能力指数：</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根据本办法统计计算的一个评估周期内的某个机场的综合得分。</w:t>
      </w:r>
    </w:p>
    <w:p w14:paraId="0D917F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区间：本办法中的红、黄、绿三个区间是根据机场运行安全保障能力指数划分的不同范围，分别代表机场处于不同的运行安全保障能力水平。</w:t>
      </w:r>
    </w:p>
    <w:p w14:paraId="21D2F7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航空公司航班飞行总量：民航局发布的某机场的某一航季航班预先飞行计划量。</w:t>
      </w:r>
    </w:p>
    <w:p w14:paraId="356B07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扣分法：根据事件发生的次数进行扣分的方法。当事件发生次数较多时，某一指标可以出现得负分的情况。</w:t>
      </w:r>
    </w:p>
    <w:p w14:paraId="660ECA0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主责：由实际运营管理机场的公司（场站）负主要责任的事件为</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主责事件，其余为非</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主责事件。</w:t>
      </w:r>
    </w:p>
    <w:p w14:paraId="606A3647">
      <w:pPr>
        <w:spacing w:line="560" w:lineRule="exact"/>
        <w:ind w:firstLine="640"/>
        <w:rPr>
          <w:rFonts w:ascii="仿宋_GB2312" w:hAnsi="仿宋_GB2312" w:eastAsia="仿宋_GB2312" w:cs="Times New Roman"/>
          <w:sz w:val="32"/>
          <w:szCs w:val="32"/>
        </w:rPr>
      </w:pPr>
    </w:p>
    <w:p w14:paraId="1C76F61E">
      <w:pPr>
        <w:spacing w:line="560" w:lineRule="exact"/>
        <w:rPr>
          <w:rFonts w:ascii="Times New Roman" w:hAnsi="Times New Roman" w:eastAsia="黑体"/>
          <w:sz w:val="32"/>
          <w:szCs w:val="32"/>
        </w:rPr>
      </w:pPr>
      <w:r>
        <w:rPr>
          <w:rFonts w:ascii="仿宋_GB2312" w:hAnsi="仿宋_GB2312" w:eastAsia="仿宋_GB2312"/>
          <w:szCs w:val="30"/>
        </w:rPr>
        <w:br w:type="page"/>
      </w:r>
      <w:r>
        <w:rPr>
          <w:rFonts w:hint="eastAsia" w:ascii="Times New Roman" w:hAnsi="Times New Roman" w:eastAsia="黑体"/>
          <w:sz w:val="32"/>
          <w:szCs w:val="32"/>
        </w:rPr>
        <w:t>附件二</w:t>
      </w:r>
    </w:p>
    <w:p w14:paraId="1ACCA13C">
      <w:pPr>
        <w:spacing w:after="156" w:afterLines="50"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评估指标体系</w:t>
      </w:r>
    </w:p>
    <w:tbl>
      <w:tblPr>
        <w:tblStyle w:val="24"/>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569"/>
        <w:gridCol w:w="4974"/>
        <w:gridCol w:w="633"/>
        <w:gridCol w:w="1319"/>
      </w:tblGrid>
      <w:tr w14:paraId="13DC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25" w:type="dxa"/>
            <w:gridSpan w:val="5"/>
            <w:shd w:val="clear" w:color="auto" w:fill="auto"/>
            <w:vAlign w:val="center"/>
          </w:tcPr>
          <w:p w14:paraId="468368AE">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第一类：严格管理类指标（6项，不设权重，分项直接扣分）</w:t>
            </w:r>
          </w:p>
        </w:tc>
      </w:tr>
      <w:tr w14:paraId="1A08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30" w:type="dxa"/>
            <w:shd w:val="clear" w:color="auto" w:fill="auto"/>
            <w:vAlign w:val="center"/>
          </w:tcPr>
          <w:p w14:paraId="12298B1A">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序号</w:t>
            </w:r>
          </w:p>
        </w:tc>
        <w:tc>
          <w:tcPr>
            <w:tcW w:w="1569" w:type="dxa"/>
            <w:shd w:val="clear" w:color="auto" w:fill="auto"/>
            <w:vAlign w:val="center"/>
          </w:tcPr>
          <w:p w14:paraId="5ECA1718">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严格管理类指标</w:t>
            </w:r>
          </w:p>
        </w:tc>
        <w:tc>
          <w:tcPr>
            <w:tcW w:w="4974" w:type="dxa"/>
            <w:shd w:val="clear" w:color="auto" w:fill="auto"/>
            <w:vAlign w:val="center"/>
          </w:tcPr>
          <w:p w14:paraId="09E4EBD5">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指标说明</w:t>
            </w:r>
          </w:p>
        </w:tc>
        <w:tc>
          <w:tcPr>
            <w:tcW w:w="633" w:type="dxa"/>
            <w:shd w:val="clear" w:color="auto" w:fill="auto"/>
            <w:vAlign w:val="center"/>
          </w:tcPr>
          <w:p w14:paraId="2E380460">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权重</w:t>
            </w:r>
          </w:p>
        </w:tc>
        <w:tc>
          <w:tcPr>
            <w:tcW w:w="1319" w:type="dxa"/>
            <w:shd w:val="clear" w:color="auto" w:fill="auto"/>
            <w:vAlign w:val="center"/>
          </w:tcPr>
          <w:p w14:paraId="360CA0FB">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计分方法</w:t>
            </w:r>
          </w:p>
        </w:tc>
      </w:tr>
      <w:tr w14:paraId="05AB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shd w:val="clear" w:color="auto" w:fill="auto"/>
            <w:vAlign w:val="center"/>
          </w:tcPr>
          <w:p w14:paraId="54B6DC9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569" w:type="dxa"/>
            <w:shd w:val="clear" w:color="auto" w:fill="auto"/>
            <w:vAlign w:val="center"/>
          </w:tcPr>
          <w:p w14:paraId="68611011">
            <w:pPr>
              <w:widowControl/>
              <w:snapToGrid w:val="0"/>
              <w:jc w:val="center"/>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rPr>
              <w:t>民用航空器事故</w:t>
            </w:r>
          </w:p>
        </w:tc>
        <w:tc>
          <w:tcPr>
            <w:tcW w:w="4974" w:type="dxa"/>
            <w:shd w:val="clear" w:color="auto" w:fill="auto"/>
            <w:vAlign w:val="center"/>
          </w:tcPr>
          <w:p w14:paraId="6EB259A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调查认定的</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主责的航空器事故。</w:t>
            </w:r>
          </w:p>
        </w:tc>
        <w:tc>
          <w:tcPr>
            <w:tcW w:w="633" w:type="dxa"/>
            <w:shd w:val="clear" w:color="auto" w:fill="auto"/>
            <w:vAlign w:val="center"/>
          </w:tcPr>
          <w:p w14:paraId="4B274B9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shd w:val="clear" w:color="auto" w:fill="auto"/>
            <w:vAlign w:val="center"/>
          </w:tcPr>
          <w:p w14:paraId="3D8ACE1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w:t>
            </w:r>
          </w:p>
        </w:tc>
      </w:tr>
      <w:tr w14:paraId="36F6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shd w:val="clear" w:color="auto" w:fill="auto"/>
            <w:vAlign w:val="center"/>
          </w:tcPr>
          <w:p w14:paraId="1777EE9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569" w:type="dxa"/>
            <w:shd w:val="clear" w:color="auto" w:fill="auto"/>
            <w:vAlign w:val="center"/>
          </w:tcPr>
          <w:p w14:paraId="6F0886E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严重净空管理事件</w:t>
            </w:r>
          </w:p>
        </w:tc>
        <w:tc>
          <w:tcPr>
            <w:tcW w:w="4974" w:type="dxa"/>
            <w:shd w:val="clear" w:color="auto" w:fill="auto"/>
            <w:vAlign w:val="center"/>
          </w:tcPr>
          <w:p w14:paraId="28BBB92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判定标准1：</w:t>
            </w:r>
            <w:r>
              <w:rPr>
                <w:rFonts w:hint="eastAsia" w:ascii="仿宋_GB2312" w:hAnsi="仿宋_GB2312" w:eastAsia="仿宋_GB2312" w:cs="仿宋_GB2312"/>
                <w:kern w:val="0"/>
                <w:szCs w:val="21"/>
              </w:rPr>
              <w:t>机场障碍物限制面范围内，新增或者原有物体的拓展超出机场障碍物限制面的建筑物、构筑物、树木</w:t>
            </w:r>
            <w:r>
              <w:rPr>
                <w:rFonts w:hint="eastAsia" w:ascii="仿宋_GB2312" w:hAnsi="仿宋_GB2312" w:eastAsia="仿宋_GB2312" w:cs="仿宋_GB2312"/>
                <w:kern w:val="0"/>
                <w:szCs w:val="21"/>
                <w:lang w:val="en-US" w:eastAsia="zh-CN"/>
              </w:rPr>
              <w:t>或者其他障碍物体</w:t>
            </w:r>
            <w:r>
              <w:rPr>
                <w:rFonts w:hint="eastAsia" w:ascii="仿宋_GB2312" w:hAnsi="仿宋_GB2312" w:eastAsia="仿宋_GB2312" w:cs="仿宋_GB2312"/>
                <w:kern w:val="0"/>
                <w:szCs w:val="21"/>
              </w:rPr>
              <w:t>（符合遮蔽原则等有关规定和标准要求，且经过</w:t>
            </w: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净空审核的除外）；或者机场障碍物限制面范围外、基准点为圆心半径55公里范围（净空保护区域）内，新增或者原有物体的拓展对机场正常运行造成影响的建筑物或者永久性构筑物，且在一个评估周期内未整改完成的。</w:t>
            </w:r>
          </w:p>
          <w:p w14:paraId="7FB5BCB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判定标准2：</w:t>
            </w:r>
            <w:r>
              <w:rPr>
                <w:rFonts w:hint="eastAsia" w:ascii="仿宋_GB2312" w:hAnsi="仿宋_GB2312" w:eastAsia="仿宋_GB2312" w:cs="仿宋_GB2312"/>
                <w:kern w:val="0"/>
                <w:szCs w:val="21"/>
              </w:rPr>
              <w:t>机场障碍物限制面中无障碍物面范围内，新增或者原有物体的拓展超出机场障碍物限制面无障碍物面的建筑物、构筑物、树木和其他障碍物体（符合遮蔽原则等有关规定和标准要求，且经过</w:t>
            </w: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净空审核的除外）；或者机场障碍物限制面中无障碍物面范围外、障碍物评估面内，新增或者原有物体的拓展对机场正常运行造成影响的建筑物、构筑物、树木和其他障碍物体，且在一个评估周期内未整改完成的。</w:t>
            </w:r>
          </w:p>
          <w:p w14:paraId="352BE4F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注：</w:t>
            </w:r>
            <w:r>
              <w:rPr>
                <w:rFonts w:hint="eastAsia" w:ascii="仿宋_GB2312" w:hAnsi="仿宋_GB2312" w:eastAsia="仿宋_GB2312" w:cs="仿宋_GB2312"/>
                <w:kern w:val="0"/>
                <w:szCs w:val="21"/>
              </w:rPr>
              <w:t>《民用机场飞行区技术标准》（MH5001）中障碍物限制面相关条款按照《国际民用航空公约》附件14第I卷的第18次修订内容修订前，按照判定标准1执行；修订后，按照判定标准2执行。</w:t>
            </w:r>
          </w:p>
        </w:tc>
        <w:tc>
          <w:tcPr>
            <w:tcW w:w="633" w:type="dxa"/>
            <w:shd w:val="clear" w:color="auto" w:fill="auto"/>
            <w:vAlign w:val="center"/>
          </w:tcPr>
          <w:p w14:paraId="6FFAE52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shd w:val="clear" w:color="auto" w:fill="auto"/>
            <w:vAlign w:val="center"/>
          </w:tcPr>
          <w:p w14:paraId="0736608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每发生1起扣30分，在下一评估周期仍未整改完成的将持续扣分。</w:t>
            </w:r>
          </w:p>
        </w:tc>
      </w:tr>
      <w:tr w14:paraId="3B6E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tcBorders>
              <w:bottom w:val="single" w:color="auto" w:sz="4" w:space="0"/>
            </w:tcBorders>
            <w:shd w:val="clear" w:color="auto" w:fill="auto"/>
            <w:vAlign w:val="center"/>
          </w:tcPr>
          <w:p w14:paraId="3717D20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569" w:type="dxa"/>
            <w:tcBorders>
              <w:bottom w:val="single" w:color="auto" w:sz="4" w:space="0"/>
            </w:tcBorders>
            <w:shd w:val="clear" w:color="auto" w:fill="auto"/>
            <w:vAlign w:val="center"/>
          </w:tcPr>
          <w:p w14:paraId="2CAA08E2">
            <w:pPr>
              <w:widowControl/>
              <w:snapToGrid w:val="0"/>
              <w:jc w:val="center"/>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rPr>
              <w:t>人员或者车辆跑道侵入征候</w:t>
            </w:r>
          </w:p>
        </w:tc>
        <w:tc>
          <w:tcPr>
            <w:tcW w:w="4974" w:type="dxa"/>
            <w:tcBorders>
              <w:bottom w:val="single" w:color="auto" w:sz="4" w:space="0"/>
            </w:tcBorders>
            <w:shd w:val="clear" w:color="auto" w:fill="auto"/>
            <w:vAlign w:val="center"/>
          </w:tcPr>
          <w:p w14:paraId="7B235913">
            <w:pPr>
              <w:widowControl/>
              <w:snapToGrid w:val="0"/>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的</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主责的A、B类跑道侵入征候。</w:t>
            </w:r>
          </w:p>
        </w:tc>
        <w:tc>
          <w:tcPr>
            <w:tcW w:w="633" w:type="dxa"/>
            <w:tcBorders>
              <w:bottom w:val="single" w:color="auto" w:sz="4" w:space="0"/>
            </w:tcBorders>
            <w:shd w:val="clear" w:color="auto" w:fill="auto"/>
            <w:vAlign w:val="center"/>
          </w:tcPr>
          <w:p w14:paraId="161D21E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tcBorders>
              <w:bottom w:val="single" w:color="auto" w:sz="4" w:space="0"/>
            </w:tcBorders>
            <w:shd w:val="clear" w:color="auto" w:fill="auto"/>
            <w:vAlign w:val="center"/>
          </w:tcPr>
          <w:p w14:paraId="76AA088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w:t>
            </w:r>
          </w:p>
        </w:tc>
      </w:tr>
      <w:tr w14:paraId="768E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tcBorders>
              <w:bottom w:val="single" w:color="auto" w:sz="4" w:space="0"/>
            </w:tcBorders>
            <w:shd w:val="clear" w:color="auto" w:fill="auto"/>
            <w:vAlign w:val="center"/>
          </w:tcPr>
          <w:p w14:paraId="55941B9B">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569" w:type="dxa"/>
            <w:tcBorders>
              <w:bottom w:val="single" w:color="auto" w:sz="4" w:space="0"/>
            </w:tcBorders>
            <w:shd w:val="clear" w:color="auto" w:fill="auto"/>
            <w:vAlign w:val="center"/>
          </w:tcPr>
          <w:p w14:paraId="5243CC8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机场内鸟击</w:t>
            </w:r>
          </w:p>
          <w:p w14:paraId="2DF3F954">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严重征候</w:t>
            </w:r>
          </w:p>
        </w:tc>
        <w:tc>
          <w:tcPr>
            <w:tcW w:w="4974" w:type="dxa"/>
            <w:tcBorders>
              <w:bottom w:val="single" w:color="auto" w:sz="4" w:space="0"/>
            </w:tcBorders>
            <w:shd w:val="clear" w:color="auto" w:fill="auto"/>
            <w:vAlign w:val="center"/>
          </w:tcPr>
          <w:p w14:paraId="03B0D433">
            <w:pPr>
              <w:widowControl/>
              <w:snapToGrid w:val="0"/>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的机场内鸟击严重征候。</w:t>
            </w:r>
          </w:p>
        </w:tc>
        <w:tc>
          <w:tcPr>
            <w:tcW w:w="633" w:type="dxa"/>
            <w:tcBorders>
              <w:bottom w:val="single" w:color="auto" w:sz="4" w:space="0"/>
            </w:tcBorders>
            <w:shd w:val="clear" w:color="auto" w:fill="auto"/>
            <w:vAlign w:val="center"/>
          </w:tcPr>
          <w:p w14:paraId="31C96359">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tcBorders>
              <w:bottom w:val="single" w:color="auto" w:sz="4" w:space="0"/>
            </w:tcBorders>
            <w:shd w:val="clear" w:color="auto" w:fill="auto"/>
            <w:vAlign w:val="center"/>
          </w:tcPr>
          <w:p w14:paraId="15F5175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w:t>
            </w:r>
          </w:p>
        </w:tc>
      </w:tr>
      <w:tr w14:paraId="4D25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tcBorders>
              <w:bottom w:val="single" w:color="auto" w:sz="4" w:space="0"/>
            </w:tcBorders>
            <w:shd w:val="clear" w:color="auto" w:fill="auto"/>
            <w:vAlign w:val="center"/>
          </w:tcPr>
          <w:p w14:paraId="6D0F0FD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569" w:type="dxa"/>
            <w:tcBorders>
              <w:bottom w:val="single" w:color="auto" w:sz="4" w:space="0"/>
            </w:tcBorders>
            <w:shd w:val="clear" w:color="auto" w:fill="auto"/>
            <w:vAlign w:val="center"/>
          </w:tcPr>
          <w:p w14:paraId="252F8783">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外来物损伤航空器</w:t>
            </w:r>
          </w:p>
          <w:p w14:paraId="75DEA129">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严重征候</w:t>
            </w:r>
          </w:p>
        </w:tc>
        <w:tc>
          <w:tcPr>
            <w:tcW w:w="4974" w:type="dxa"/>
            <w:tcBorders>
              <w:bottom w:val="single" w:color="auto" w:sz="4" w:space="0"/>
            </w:tcBorders>
            <w:shd w:val="clear" w:color="auto" w:fill="auto"/>
            <w:vAlign w:val="center"/>
          </w:tcPr>
          <w:p w14:paraId="78D992CF">
            <w:pPr>
              <w:widowControl/>
              <w:snapToGrid w:val="0"/>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的</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主责的外来物损伤航空器严重征候。</w:t>
            </w:r>
          </w:p>
        </w:tc>
        <w:tc>
          <w:tcPr>
            <w:tcW w:w="633" w:type="dxa"/>
            <w:tcBorders>
              <w:bottom w:val="single" w:color="auto" w:sz="4" w:space="0"/>
            </w:tcBorders>
            <w:shd w:val="clear" w:color="auto" w:fill="auto"/>
            <w:vAlign w:val="center"/>
          </w:tcPr>
          <w:p w14:paraId="4DE20536">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tcBorders>
              <w:bottom w:val="single" w:color="auto" w:sz="4" w:space="0"/>
            </w:tcBorders>
            <w:shd w:val="clear" w:color="auto" w:fill="auto"/>
            <w:vAlign w:val="center"/>
          </w:tcPr>
          <w:p w14:paraId="72EEC5C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w:t>
            </w:r>
          </w:p>
        </w:tc>
      </w:tr>
      <w:tr w14:paraId="69E9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shd w:val="clear" w:color="auto" w:fill="auto"/>
            <w:vAlign w:val="center"/>
          </w:tcPr>
          <w:p w14:paraId="0C306E6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569" w:type="dxa"/>
            <w:shd w:val="clear" w:color="auto" w:fill="auto"/>
            <w:vAlign w:val="center"/>
          </w:tcPr>
          <w:p w14:paraId="390891E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机场运行安全有关的严重失信行为</w:t>
            </w:r>
          </w:p>
        </w:tc>
        <w:tc>
          <w:tcPr>
            <w:tcW w:w="4974" w:type="dxa"/>
            <w:shd w:val="clear" w:color="auto" w:fill="auto"/>
            <w:vAlign w:val="center"/>
          </w:tcPr>
          <w:p w14:paraId="18D22A0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出现违反民航行业信用管理相关规定，</w:t>
            </w:r>
            <w:r>
              <w:rPr>
                <w:rFonts w:hint="eastAsia" w:ascii="仿宋_GB2312" w:hAnsi="仿宋_GB2312" w:eastAsia="仿宋_GB2312" w:cs="仿宋_GB2312"/>
                <w:kern w:val="0"/>
                <w:szCs w:val="21"/>
                <w:highlight w:val="none"/>
              </w:rPr>
              <w:t>发生与机场运行安全有关的严重失信行为。</w:t>
            </w:r>
          </w:p>
        </w:tc>
        <w:tc>
          <w:tcPr>
            <w:tcW w:w="633" w:type="dxa"/>
            <w:shd w:val="clear" w:color="auto" w:fill="auto"/>
            <w:vAlign w:val="center"/>
          </w:tcPr>
          <w:p w14:paraId="51A22F1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319" w:type="dxa"/>
            <w:shd w:val="clear" w:color="auto" w:fill="auto"/>
            <w:vAlign w:val="center"/>
          </w:tcPr>
          <w:p w14:paraId="55F5978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每发生1起扣30分。</w:t>
            </w:r>
          </w:p>
        </w:tc>
      </w:tr>
    </w:tbl>
    <w:p w14:paraId="33BEFCE1">
      <w:pPr>
        <w:widowControl/>
        <w:jc w:val="center"/>
        <w:rPr>
          <w:rFonts w:ascii="Times New Roman" w:hAnsi="Times New Roman" w:eastAsia="仿宋" w:cs="宋体"/>
          <w:b/>
          <w:bCs/>
          <w:kern w:val="0"/>
          <w:szCs w:val="21"/>
        </w:rPr>
        <w:sectPr>
          <w:headerReference r:id="rId3" w:type="default"/>
          <w:footerReference r:id="rId4" w:type="default"/>
          <w:pgSz w:w="11906" w:h="16838"/>
          <w:pgMar w:top="2098" w:right="1474" w:bottom="1984" w:left="1587" w:header="851" w:footer="992" w:gutter="0"/>
          <w:cols w:space="425" w:num="1"/>
          <w:docGrid w:type="lines" w:linePitch="312" w:charSpace="0"/>
        </w:sectPr>
      </w:pPr>
    </w:p>
    <w:tbl>
      <w:tblPr>
        <w:tblStyle w:val="24"/>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7"/>
      </w:tblGrid>
      <w:tr w14:paraId="7B9B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45A28EB1">
            <w:pPr>
              <w:widowControl/>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第二类：安全管理类指标（1</w:t>
            </w:r>
            <w:r>
              <w:rPr>
                <w:rFonts w:hint="eastAsia" w:ascii="Times New Roman" w:hAnsi="Times New Roman" w:eastAsia="仿宋_GB2312" w:cs="宋体"/>
                <w:b/>
                <w:bCs/>
                <w:kern w:val="0"/>
                <w:szCs w:val="21"/>
                <w:lang w:val="en-US" w:eastAsia="zh-CN"/>
              </w:rPr>
              <w:t>3</w:t>
            </w:r>
            <w:r>
              <w:rPr>
                <w:rFonts w:hint="eastAsia" w:ascii="Times New Roman" w:hAnsi="Times New Roman" w:eastAsia="仿宋_GB2312" w:cs="宋体"/>
                <w:b/>
                <w:bCs/>
                <w:kern w:val="0"/>
                <w:szCs w:val="21"/>
              </w:rPr>
              <w:t>项，权重8</w:t>
            </w:r>
            <w:r>
              <w:rPr>
                <w:rFonts w:ascii="Times New Roman" w:hAnsi="Times New Roman" w:eastAsia="仿宋_GB2312" w:cs="宋体"/>
                <w:b/>
                <w:bCs/>
                <w:kern w:val="0"/>
                <w:szCs w:val="21"/>
              </w:rPr>
              <w:t>0</w:t>
            </w:r>
            <w:r>
              <w:rPr>
                <w:rFonts w:hint="eastAsia" w:ascii="Times New Roman" w:hAnsi="Times New Roman" w:eastAsia="仿宋_GB2312" w:cs="宋体"/>
                <w:b/>
                <w:bCs/>
                <w:kern w:val="0"/>
                <w:szCs w:val="21"/>
              </w:rPr>
              <w:t>分，分项直接扣分）</w:t>
            </w:r>
          </w:p>
        </w:tc>
      </w:tr>
    </w:tbl>
    <w:p w14:paraId="3326D38A">
      <w:pPr>
        <w:spacing w:line="20" w:lineRule="exact"/>
      </w:pPr>
    </w:p>
    <w:tbl>
      <w:tblPr>
        <w:tblStyle w:val="24"/>
        <w:tblW w:w="5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890"/>
        <w:gridCol w:w="1278"/>
        <w:gridCol w:w="852"/>
        <w:gridCol w:w="725"/>
        <w:gridCol w:w="2052"/>
        <w:gridCol w:w="467"/>
        <w:gridCol w:w="2289"/>
      </w:tblGrid>
      <w:tr w14:paraId="72BD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4" w:type="pct"/>
            <w:shd w:val="clear" w:color="auto" w:fill="auto"/>
            <w:vAlign w:val="center"/>
          </w:tcPr>
          <w:p w14:paraId="15FF9220">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序号</w:t>
            </w:r>
          </w:p>
        </w:tc>
        <w:tc>
          <w:tcPr>
            <w:tcW w:w="487" w:type="pct"/>
            <w:shd w:val="clear" w:color="auto" w:fill="auto"/>
            <w:vAlign w:val="center"/>
          </w:tcPr>
          <w:p w14:paraId="0895825C">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安全管理类指标</w:t>
            </w:r>
          </w:p>
        </w:tc>
        <w:tc>
          <w:tcPr>
            <w:tcW w:w="2688" w:type="pct"/>
            <w:gridSpan w:val="4"/>
            <w:shd w:val="clear" w:color="auto" w:fill="auto"/>
            <w:vAlign w:val="center"/>
          </w:tcPr>
          <w:p w14:paraId="6AB6C7C1">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指标说明</w:t>
            </w:r>
          </w:p>
        </w:tc>
        <w:tc>
          <w:tcPr>
            <w:tcW w:w="255" w:type="pct"/>
            <w:shd w:val="clear" w:color="auto" w:fill="auto"/>
            <w:vAlign w:val="center"/>
          </w:tcPr>
          <w:p w14:paraId="011A2A22">
            <w:pPr>
              <w:widowControl/>
              <w:snapToGrid w:val="0"/>
              <w:jc w:val="center"/>
              <w:rPr>
                <w:rFonts w:ascii="Times New Roman" w:hAnsi="Times New Roman" w:eastAsia="仿宋" w:cs="宋体"/>
                <w:b/>
                <w:bCs/>
                <w:kern w:val="0"/>
                <w:szCs w:val="21"/>
              </w:rPr>
            </w:pPr>
            <w:r>
              <w:rPr>
                <w:rFonts w:hint="eastAsia" w:ascii="Times New Roman" w:hAnsi="Times New Roman" w:eastAsia="仿宋_GB2312" w:cs="宋体"/>
                <w:b/>
                <w:bCs/>
                <w:kern w:val="0"/>
                <w:szCs w:val="21"/>
              </w:rPr>
              <w:t>权重</w:t>
            </w:r>
          </w:p>
        </w:tc>
        <w:tc>
          <w:tcPr>
            <w:tcW w:w="1253" w:type="pct"/>
            <w:shd w:val="clear" w:color="auto" w:fill="auto"/>
            <w:vAlign w:val="center"/>
          </w:tcPr>
          <w:p w14:paraId="5B7A4E74">
            <w:pPr>
              <w:widowControl/>
              <w:snapToGrid w:val="0"/>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计分方法</w:t>
            </w:r>
          </w:p>
        </w:tc>
      </w:tr>
      <w:tr w14:paraId="55BB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05028B3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487" w:type="pct"/>
            <w:vMerge w:val="restart"/>
            <w:shd w:val="clear" w:color="auto" w:fill="auto"/>
            <w:vAlign w:val="center"/>
          </w:tcPr>
          <w:p w14:paraId="4DA2A66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跑道侵入事件</w:t>
            </w:r>
          </w:p>
        </w:tc>
        <w:tc>
          <w:tcPr>
            <w:tcW w:w="700" w:type="pct"/>
            <w:vMerge w:val="restart"/>
            <w:shd w:val="clear" w:color="auto" w:fill="auto"/>
            <w:vAlign w:val="center"/>
          </w:tcPr>
          <w:p w14:paraId="73D586F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严重征候</w:t>
            </w:r>
          </w:p>
        </w:tc>
        <w:tc>
          <w:tcPr>
            <w:tcW w:w="466" w:type="pct"/>
            <w:vMerge w:val="restart"/>
            <w:shd w:val="clear" w:color="auto" w:fill="auto"/>
            <w:vAlign w:val="center"/>
          </w:tcPr>
          <w:p w14:paraId="61A7A69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w:t>
            </w:r>
          </w:p>
        </w:tc>
        <w:tc>
          <w:tcPr>
            <w:tcW w:w="1521" w:type="pct"/>
            <w:gridSpan w:val="2"/>
            <w:vMerge w:val="restart"/>
            <w:shd w:val="clear" w:color="auto" w:fill="auto"/>
            <w:vAlign w:val="center"/>
          </w:tcPr>
          <w:p w14:paraId="77AFE30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由人员或者车辆造成的A类跑道侵入。</w:t>
            </w:r>
          </w:p>
        </w:tc>
        <w:tc>
          <w:tcPr>
            <w:tcW w:w="255" w:type="pct"/>
            <w:vMerge w:val="restart"/>
            <w:shd w:val="clear" w:color="auto" w:fill="auto"/>
            <w:vAlign w:val="center"/>
          </w:tcPr>
          <w:p w14:paraId="37190700">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6</w:t>
            </w:r>
          </w:p>
        </w:tc>
        <w:tc>
          <w:tcPr>
            <w:tcW w:w="1253" w:type="pct"/>
            <w:shd w:val="clear" w:color="auto" w:fill="auto"/>
            <w:vAlign w:val="center"/>
          </w:tcPr>
          <w:p w14:paraId="33F4902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第1起扣6分</w:t>
            </w:r>
          </w:p>
        </w:tc>
      </w:tr>
      <w:tr w14:paraId="5D15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DAF02E6">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0E0EFCC9">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70046C94">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74C6677E">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7A7D452E">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2D3F205">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713F88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第2起扣15分</w:t>
            </w:r>
          </w:p>
        </w:tc>
      </w:tr>
      <w:tr w14:paraId="4120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91C2FE8">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69669BC3">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207288CB">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64F69E5F">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64269F6A">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8BE9DD8">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2611C2D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第3起及以上每起扣30分</w:t>
            </w:r>
          </w:p>
        </w:tc>
      </w:tr>
      <w:tr w14:paraId="2AEA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0E49026A">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21EE4B1E">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4DC470A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一般征候</w:t>
            </w:r>
          </w:p>
        </w:tc>
        <w:tc>
          <w:tcPr>
            <w:tcW w:w="466" w:type="pct"/>
            <w:vMerge w:val="continue"/>
            <w:shd w:val="clear" w:color="auto" w:fill="auto"/>
            <w:vAlign w:val="center"/>
          </w:tcPr>
          <w:p w14:paraId="042182D8">
            <w:pPr>
              <w:widowControl/>
              <w:snapToGrid w:val="0"/>
              <w:jc w:val="left"/>
              <w:rPr>
                <w:rFonts w:hint="eastAsia" w:ascii="仿宋_GB2312" w:hAnsi="仿宋_GB2312" w:eastAsia="仿宋_GB2312" w:cs="仿宋_GB2312"/>
                <w:kern w:val="0"/>
                <w:szCs w:val="21"/>
              </w:rPr>
            </w:pPr>
          </w:p>
        </w:tc>
        <w:tc>
          <w:tcPr>
            <w:tcW w:w="1521" w:type="pct"/>
            <w:gridSpan w:val="2"/>
            <w:vMerge w:val="restart"/>
            <w:shd w:val="clear" w:color="auto" w:fill="auto"/>
            <w:vAlign w:val="center"/>
          </w:tcPr>
          <w:p w14:paraId="14A54E58">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由人员或者车辆造成的B类跑道侵入。</w:t>
            </w:r>
          </w:p>
        </w:tc>
        <w:tc>
          <w:tcPr>
            <w:tcW w:w="255" w:type="pct"/>
            <w:vMerge w:val="restart"/>
            <w:shd w:val="clear" w:color="auto" w:fill="auto"/>
            <w:vAlign w:val="center"/>
          </w:tcPr>
          <w:p w14:paraId="24BB5073">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4</w:t>
            </w:r>
          </w:p>
        </w:tc>
        <w:tc>
          <w:tcPr>
            <w:tcW w:w="1253" w:type="pct"/>
            <w:shd w:val="clear" w:color="auto" w:fill="auto"/>
            <w:vAlign w:val="center"/>
          </w:tcPr>
          <w:p w14:paraId="7830991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第1起扣4分</w:t>
            </w:r>
          </w:p>
        </w:tc>
      </w:tr>
      <w:tr w14:paraId="659E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F6224CC">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732AB359">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482F464E">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8A90A9B">
            <w:pPr>
              <w:widowControl/>
              <w:snapToGrid w:val="0"/>
              <w:jc w:val="left"/>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6808C834">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3F5624F">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35E50DA6">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第2起扣10分</w:t>
            </w:r>
          </w:p>
        </w:tc>
      </w:tr>
      <w:tr w14:paraId="0D0B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1DFB79A">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E9353CE">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0502DCE8">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9E1664E">
            <w:pPr>
              <w:widowControl/>
              <w:snapToGrid w:val="0"/>
              <w:jc w:val="left"/>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371E96C1">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2B8A2A7A">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45B8AA8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第3起及以上每起扣20分</w:t>
            </w:r>
          </w:p>
        </w:tc>
      </w:tr>
      <w:tr w14:paraId="554E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B0F39EF">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22E7086">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1A9F915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一般事件</w:t>
            </w:r>
          </w:p>
        </w:tc>
        <w:tc>
          <w:tcPr>
            <w:tcW w:w="466" w:type="pct"/>
            <w:vMerge w:val="restart"/>
            <w:shd w:val="clear" w:color="auto" w:fill="auto"/>
            <w:vAlign w:val="center"/>
          </w:tcPr>
          <w:p w14:paraId="76973CBF">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w:t>
            </w:r>
          </w:p>
        </w:tc>
        <w:tc>
          <w:tcPr>
            <w:tcW w:w="1521" w:type="pct"/>
            <w:gridSpan w:val="2"/>
            <w:vMerge w:val="restart"/>
            <w:shd w:val="clear" w:color="auto" w:fill="auto"/>
            <w:vAlign w:val="center"/>
          </w:tcPr>
          <w:p w14:paraId="2E4B1896">
            <w:pPr>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民航行政机关调查认定</w:t>
            </w:r>
            <w:r>
              <w:rPr>
                <w:rFonts w:hint="eastAsia" w:ascii="仿宋_GB2312" w:hAnsi="仿宋_GB2312" w:eastAsia="仿宋_GB2312" w:cs="仿宋_GB2312"/>
                <w:kern w:val="0"/>
                <w:szCs w:val="21"/>
              </w:rPr>
              <w:t>由人员或者车辆造成的C、D、E类跑道侵入。</w:t>
            </w:r>
          </w:p>
        </w:tc>
        <w:tc>
          <w:tcPr>
            <w:tcW w:w="255" w:type="pct"/>
            <w:vMerge w:val="restart"/>
            <w:shd w:val="clear" w:color="auto" w:fill="auto"/>
            <w:vAlign w:val="center"/>
          </w:tcPr>
          <w:p w14:paraId="3BD9E308">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6</w:t>
            </w:r>
          </w:p>
        </w:tc>
        <w:tc>
          <w:tcPr>
            <w:tcW w:w="1253" w:type="pct"/>
            <w:shd w:val="clear" w:color="auto" w:fill="auto"/>
            <w:vAlign w:val="center"/>
          </w:tcPr>
          <w:p w14:paraId="464D2E38">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第1起扣6分</w:t>
            </w:r>
          </w:p>
        </w:tc>
      </w:tr>
      <w:tr w14:paraId="74E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DEB4989">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3670C6EA">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1F8BD70D">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2C5D19B">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0A0716E1">
            <w:pPr>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4D057AF9">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B7681B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第2起扣10分</w:t>
            </w:r>
          </w:p>
        </w:tc>
      </w:tr>
      <w:tr w14:paraId="2784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06F98CA">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4453DBF">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F5EA35A">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CAD7ACD">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064CF2C7">
            <w:pPr>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510A69C6">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639423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第3起及以上每起扣20分</w:t>
            </w:r>
          </w:p>
        </w:tc>
      </w:tr>
      <w:tr w14:paraId="27EE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32E319CB">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D61575D">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A6163BA">
            <w:pPr>
              <w:widowControl/>
              <w:snapToGrid w:val="0"/>
              <w:jc w:val="left"/>
              <w:rPr>
                <w:rFonts w:hint="eastAsia" w:ascii="仿宋_GB2312" w:hAnsi="仿宋_GB2312" w:eastAsia="仿宋_GB2312" w:cs="仿宋_GB2312"/>
                <w:kern w:val="0"/>
                <w:szCs w:val="21"/>
              </w:rPr>
            </w:pPr>
          </w:p>
        </w:tc>
        <w:tc>
          <w:tcPr>
            <w:tcW w:w="466" w:type="pct"/>
            <w:vMerge w:val="restart"/>
            <w:shd w:val="clear" w:color="auto" w:fill="auto"/>
            <w:vAlign w:val="center"/>
          </w:tcPr>
          <w:p w14:paraId="753BA159">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w:t>
            </w:r>
          </w:p>
        </w:tc>
        <w:tc>
          <w:tcPr>
            <w:tcW w:w="1521" w:type="pct"/>
            <w:gridSpan w:val="2"/>
            <w:vMerge w:val="continue"/>
            <w:shd w:val="clear" w:color="auto" w:fill="auto"/>
            <w:vAlign w:val="center"/>
          </w:tcPr>
          <w:p w14:paraId="0BA9B7D0">
            <w:pPr>
              <w:widowControl/>
              <w:snapToGrid w:val="0"/>
              <w:jc w:val="left"/>
              <w:rPr>
                <w:rFonts w:hint="eastAsia" w:ascii="仿宋_GB2312" w:hAnsi="仿宋_GB2312" w:eastAsia="仿宋_GB2312" w:cs="仿宋_GB2312"/>
                <w:kern w:val="0"/>
                <w:szCs w:val="21"/>
              </w:rPr>
            </w:pPr>
          </w:p>
        </w:tc>
        <w:tc>
          <w:tcPr>
            <w:tcW w:w="255" w:type="pct"/>
            <w:vMerge w:val="restart"/>
            <w:shd w:val="clear" w:color="auto" w:fill="auto"/>
            <w:vAlign w:val="center"/>
          </w:tcPr>
          <w:p w14:paraId="08FD705F">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2</w:t>
            </w:r>
          </w:p>
        </w:tc>
        <w:tc>
          <w:tcPr>
            <w:tcW w:w="1253" w:type="pct"/>
            <w:shd w:val="clear" w:color="auto" w:fill="auto"/>
            <w:vAlign w:val="center"/>
          </w:tcPr>
          <w:p w14:paraId="53E26AB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第1起扣2分</w:t>
            </w:r>
          </w:p>
        </w:tc>
      </w:tr>
      <w:tr w14:paraId="0FAA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7F537DB">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656C8FFE">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10DCEF66">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06D8D3A8">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473C7EF7">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76DFA6A3">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0E735B7">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第2起扣5分</w:t>
            </w:r>
          </w:p>
        </w:tc>
      </w:tr>
      <w:tr w14:paraId="7EA4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D4C7282">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8D1A405">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3D8E0F89">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0DF6CBB2">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4FF125BC">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71416E5E">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5831F8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第3起及以上每起扣10分</w:t>
            </w:r>
          </w:p>
        </w:tc>
      </w:tr>
      <w:tr w14:paraId="28C3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056FD28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487" w:type="pct"/>
            <w:vMerge w:val="restart"/>
            <w:shd w:val="clear" w:color="auto" w:fill="auto"/>
            <w:vAlign w:val="center"/>
          </w:tcPr>
          <w:p w14:paraId="03B5BA8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应急救援与残损航空器搬移处置不当事件</w:t>
            </w:r>
          </w:p>
        </w:tc>
        <w:tc>
          <w:tcPr>
            <w:tcW w:w="2688" w:type="pct"/>
            <w:gridSpan w:val="4"/>
            <w:shd w:val="clear" w:color="auto" w:fill="auto"/>
            <w:vAlign w:val="center"/>
          </w:tcPr>
          <w:p w14:paraId="6DC142A0">
            <w:pPr>
              <w:widowControl/>
              <w:snapToGrid w:val="0"/>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调查、组织复盘或</w:t>
            </w:r>
            <w:r>
              <w:rPr>
                <w:rFonts w:hint="eastAsia" w:ascii="仿宋_GB2312" w:hAnsi="仿宋_GB2312" w:eastAsia="仿宋_GB2312" w:cs="仿宋_GB2312"/>
                <w:kern w:val="0"/>
                <w:szCs w:val="21"/>
                <w:lang w:val="en-US" w:eastAsia="zh-CN"/>
              </w:rPr>
              <w:t>者</w:t>
            </w:r>
            <w:r>
              <w:rPr>
                <w:rFonts w:hint="eastAsia" w:ascii="仿宋_GB2312" w:hAnsi="仿宋_GB2312" w:eastAsia="仿宋_GB2312" w:cs="仿宋_GB2312"/>
                <w:kern w:val="0"/>
                <w:szCs w:val="21"/>
              </w:rPr>
              <w:t>通报认定航空器突发事件应急救援响应不及时、处置不到位。</w:t>
            </w:r>
          </w:p>
        </w:tc>
        <w:tc>
          <w:tcPr>
            <w:tcW w:w="255" w:type="pct"/>
            <w:vMerge w:val="restart"/>
            <w:shd w:val="clear" w:color="auto" w:fill="auto"/>
            <w:vAlign w:val="center"/>
          </w:tcPr>
          <w:p w14:paraId="183F69F8">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5</w:t>
            </w:r>
          </w:p>
        </w:tc>
        <w:tc>
          <w:tcPr>
            <w:tcW w:w="1253" w:type="pct"/>
            <w:shd w:val="clear" w:color="auto" w:fill="auto"/>
            <w:vAlign w:val="center"/>
          </w:tcPr>
          <w:p w14:paraId="65D384A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w:t>
            </w:r>
            <w:r>
              <w:rPr>
                <w:rFonts w:hint="eastAsia" w:ascii="仿宋_GB2312" w:hAnsi="仿宋_GB2312" w:eastAsia="仿宋_GB2312" w:cs="仿宋_GB2312"/>
                <w:kern w:val="0"/>
                <w:szCs w:val="21"/>
                <w:lang w:val="en-US" w:eastAsia="zh-CN"/>
              </w:rPr>
              <w:t>5</w:t>
            </w:r>
            <w:r>
              <w:rPr>
                <w:rFonts w:hint="eastAsia" w:ascii="仿宋_GB2312" w:hAnsi="仿宋_GB2312" w:eastAsia="仿宋_GB2312" w:cs="仿宋_GB2312"/>
                <w:kern w:val="0"/>
                <w:szCs w:val="21"/>
              </w:rPr>
              <w:t>分</w:t>
            </w:r>
          </w:p>
        </w:tc>
      </w:tr>
      <w:tr w14:paraId="476D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65ABA27">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31A439D1">
            <w:pPr>
              <w:widowControl/>
              <w:snapToGrid w:val="0"/>
              <w:jc w:val="center"/>
              <w:rPr>
                <w:rFonts w:hint="eastAsia" w:ascii="仿宋_GB2312" w:hAnsi="仿宋_GB2312" w:eastAsia="仿宋_GB2312" w:cs="仿宋_GB2312"/>
                <w:kern w:val="0"/>
                <w:szCs w:val="21"/>
              </w:rPr>
            </w:pPr>
          </w:p>
        </w:tc>
        <w:tc>
          <w:tcPr>
            <w:tcW w:w="2688" w:type="pct"/>
            <w:gridSpan w:val="4"/>
            <w:shd w:val="clear" w:color="auto" w:fill="auto"/>
            <w:vAlign w:val="center"/>
          </w:tcPr>
          <w:p w14:paraId="044AE3F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调查、组织复盘或</w:t>
            </w:r>
            <w:r>
              <w:rPr>
                <w:rFonts w:hint="eastAsia" w:ascii="仿宋_GB2312" w:hAnsi="仿宋_GB2312" w:eastAsia="仿宋_GB2312" w:cs="仿宋_GB2312"/>
                <w:kern w:val="0"/>
                <w:szCs w:val="21"/>
                <w:lang w:val="en-US" w:eastAsia="zh-CN"/>
              </w:rPr>
              <w:t>者</w:t>
            </w:r>
            <w:r>
              <w:rPr>
                <w:rFonts w:hint="eastAsia" w:ascii="仿宋_GB2312" w:hAnsi="仿宋_GB2312" w:eastAsia="仿宋_GB2312" w:cs="仿宋_GB2312"/>
                <w:kern w:val="0"/>
                <w:szCs w:val="21"/>
              </w:rPr>
              <w:t>通报认定残损航空器搬移不及时。</w:t>
            </w:r>
          </w:p>
        </w:tc>
        <w:tc>
          <w:tcPr>
            <w:tcW w:w="255" w:type="pct"/>
            <w:vMerge w:val="continue"/>
            <w:shd w:val="clear" w:color="auto" w:fill="auto"/>
            <w:vAlign w:val="center"/>
          </w:tcPr>
          <w:p w14:paraId="48192B50">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302FA41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highlight w:val="none"/>
              </w:rPr>
              <w:t>每发生1起超出建议搬移时长1.5倍的扣3分，同一起事件之后每超出建议搬移时长1倍扣3分（倍数向</w:t>
            </w:r>
            <w:r>
              <w:rPr>
                <w:rFonts w:hint="eastAsia" w:ascii="仿宋_GB2312" w:hAnsi="仿宋_GB2312" w:eastAsia="仿宋_GB2312" w:cs="仿宋_GB2312"/>
                <w:kern w:val="0"/>
                <w:szCs w:val="21"/>
                <w:highlight w:val="none"/>
                <w:lang w:val="en-US" w:eastAsia="zh-CN"/>
              </w:rPr>
              <w:t>下</w:t>
            </w:r>
            <w:r>
              <w:rPr>
                <w:rFonts w:hint="eastAsia" w:ascii="仿宋_GB2312" w:hAnsi="仿宋_GB2312" w:eastAsia="仿宋_GB2312" w:cs="仿宋_GB2312"/>
                <w:kern w:val="0"/>
                <w:szCs w:val="21"/>
                <w:highlight w:val="none"/>
              </w:rPr>
              <w:t>取整）</w:t>
            </w:r>
          </w:p>
        </w:tc>
      </w:tr>
      <w:tr w14:paraId="7B56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shd w:val="clear" w:color="auto" w:fill="auto"/>
            <w:vAlign w:val="center"/>
          </w:tcPr>
          <w:p w14:paraId="53209B2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487" w:type="pct"/>
            <w:shd w:val="clear" w:color="auto" w:fill="auto"/>
            <w:vAlign w:val="center"/>
          </w:tcPr>
          <w:p w14:paraId="24ECBFF9">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不停航施工事件</w:t>
            </w:r>
          </w:p>
        </w:tc>
        <w:tc>
          <w:tcPr>
            <w:tcW w:w="2688" w:type="pct"/>
            <w:gridSpan w:val="4"/>
            <w:shd w:val="clear" w:color="auto" w:fill="auto"/>
            <w:vAlign w:val="center"/>
          </w:tcPr>
          <w:p w14:paraId="757DE0A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未按照不停航施工管理要求，未经批准擅自在机场内进行不停航施工或者未制定管控方案。</w:t>
            </w:r>
          </w:p>
        </w:tc>
        <w:tc>
          <w:tcPr>
            <w:tcW w:w="255" w:type="pct"/>
            <w:shd w:val="clear" w:color="auto" w:fill="auto"/>
            <w:vAlign w:val="center"/>
          </w:tcPr>
          <w:p w14:paraId="791FB30A">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026B8CC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每发生1起扣3分</w:t>
            </w:r>
          </w:p>
        </w:tc>
      </w:tr>
      <w:tr w14:paraId="470B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60AD3F5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487" w:type="pct"/>
            <w:vMerge w:val="restart"/>
            <w:shd w:val="clear" w:color="auto" w:fill="auto"/>
            <w:vAlign w:val="center"/>
          </w:tcPr>
          <w:p w14:paraId="7163E8D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未按规定进入</w:t>
            </w:r>
          </w:p>
          <w:p w14:paraId="20E839B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活动区事件</w:t>
            </w:r>
          </w:p>
        </w:tc>
        <w:tc>
          <w:tcPr>
            <w:tcW w:w="2688" w:type="pct"/>
            <w:gridSpan w:val="4"/>
            <w:vMerge w:val="restart"/>
            <w:shd w:val="clear" w:color="auto" w:fill="auto"/>
            <w:vAlign w:val="center"/>
          </w:tcPr>
          <w:p w14:paraId="51F5D8C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未按规定进入活动区事件，包括未经允许的人员或者车辆进入活动区，或者经允许进入活动区的人员或者车辆发生影响航空器安全运行的事件，不含跑道侵入。</w:t>
            </w:r>
          </w:p>
        </w:tc>
        <w:tc>
          <w:tcPr>
            <w:tcW w:w="255" w:type="pct"/>
            <w:vMerge w:val="restart"/>
            <w:shd w:val="clear" w:color="auto" w:fill="auto"/>
            <w:vAlign w:val="center"/>
          </w:tcPr>
          <w:p w14:paraId="5F89C007">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49DDF15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第1起扣3分</w:t>
            </w:r>
          </w:p>
        </w:tc>
      </w:tr>
      <w:tr w14:paraId="4BF6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A9D30EE">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1B6AEBE9">
            <w:pPr>
              <w:widowControl/>
              <w:snapToGrid w:val="0"/>
              <w:jc w:val="center"/>
              <w:rPr>
                <w:rFonts w:hint="eastAsia" w:ascii="仿宋_GB2312" w:hAnsi="仿宋_GB2312" w:eastAsia="仿宋_GB2312" w:cs="仿宋_GB2312"/>
                <w:kern w:val="0"/>
                <w:szCs w:val="21"/>
              </w:rPr>
            </w:pPr>
          </w:p>
        </w:tc>
        <w:tc>
          <w:tcPr>
            <w:tcW w:w="2688" w:type="pct"/>
            <w:gridSpan w:val="4"/>
            <w:vMerge w:val="continue"/>
            <w:shd w:val="clear" w:color="auto" w:fill="auto"/>
            <w:vAlign w:val="center"/>
          </w:tcPr>
          <w:p w14:paraId="6FE90E20">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5ACFE293">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25A7D0A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第2起扣5分</w:t>
            </w:r>
          </w:p>
        </w:tc>
      </w:tr>
      <w:tr w14:paraId="7397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B5FA12F">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5EB751A7">
            <w:pPr>
              <w:widowControl/>
              <w:snapToGrid w:val="0"/>
              <w:jc w:val="center"/>
              <w:rPr>
                <w:rFonts w:hint="eastAsia" w:ascii="仿宋_GB2312" w:hAnsi="仿宋_GB2312" w:eastAsia="仿宋_GB2312" w:cs="仿宋_GB2312"/>
                <w:kern w:val="0"/>
                <w:szCs w:val="21"/>
              </w:rPr>
            </w:pPr>
          </w:p>
        </w:tc>
        <w:tc>
          <w:tcPr>
            <w:tcW w:w="2688" w:type="pct"/>
            <w:gridSpan w:val="4"/>
            <w:vMerge w:val="continue"/>
            <w:shd w:val="clear" w:color="auto" w:fill="auto"/>
            <w:vAlign w:val="center"/>
          </w:tcPr>
          <w:p w14:paraId="39C45BBE">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D006D54">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166BBF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第3起及以上每起扣8分</w:t>
            </w:r>
          </w:p>
        </w:tc>
      </w:tr>
      <w:tr w14:paraId="2A57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290CA0A4">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487" w:type="pct"/>
            <w:vMerge w:val="restart"/>
            <w:shd w:val="clear" w:color="auto" w:fill="auto"/>
            <w:vAlign w:val="center"/>
          </w:tcPr>
          <w:p w14:paraId="647B8985">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一般净空管理事件</w:t>
            </w:r>
          </w:p>
        </w:tc>
        <w:tc>
          <w:tcPr>
            <w:tcW w:w="700" w:type="pct"/>
            <w:vMerge w:val="restart"/>
            <w:shd w:val="clear" w:color="auto" w:fill="auto"/>
            <w:vAlign w:val="center"/>
          </w:tcPr>
          <w:p w14:paraId="25C61293">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障碍物管理</w:t>
            </w:r>
          </w:p>
        </w:tc>
        <w:tc>
          <w:tcPr>
            <w:tcW w:w="1988" w:type="pct"/>
            <w:gridSpan w:val="3"/>
            <w:vMerge w:val="restart"/>
            <w:shd w:val="clear" w:color="auto" w:fill="auto"/>
            <w:vAlign w:val="center"/>
          </w:tcPr>
          <w:p w14:paraId="63AFAAA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判定标准1：</w:t>
            </w:r>
            <w:r>
              <w:rPr>
                <w:rFonts w:hint="eastAsia" w:ascii="仿宋_GB2312" w:hAnsi="仿宋_GB2312" w:eastAsia="仿宋_GB2312" w:cs="仿宋_GB2312"/>
                <w:kern w:val="0"/>
                <w:szCs w:val="21"/>
              </w:rPr>
              <w:t>机场障碍物限制面范围内，新增或者原有物体的拓展超出机场障碍物限制面的建筑物、构筑物、树木和其他障碍物体（符合遮蔽原则等有关规定和标准要求，且经过</w:t>
            </w: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净空审核的除外），以及机场障碍物限制面范围外、基准点为圆心半径55公里范围内，新增对机场正常运行造成影响的建筑物、构筑物、树木和其他障碍物体，且在一个评估周期内整改完成的。或者在以上区域，新增对机场正常运行造成影响的临时性构筑物或者施工机械。</w:t>
            </w:r>
          </w:p>
          <w:p w14:paraId="6EB1DE5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判定标准2：</w:t>
            </w:r>
            <w:r>
              <w:rPr>
                <w:rFonts w:hint="eastAsia" w:ascii="仿宋_GB2312" w:hAnsi="仿宋_GB2312" w:eastAsia="仿宋_GB2312" w:cs="仿宋_GB2312"/>
                <w:kern w:val="0"/>
                <w:szCs w:val="21"/>
              </w:rPr>
              <w:t>机场障碍物限制面中无障碍物面范围内，新增或者原有物体的拓展超出机场障碍物限制面无障碍物面的建筑物、构筑物、树木和其他障碍物体（符合遮蔽原则等有关规定和标准要求，且经过</w:t>
            </w: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净空审核的除外），以及机场障碍物限制面中无障碍物面范围外、障碍物评估面范围内，新增对机场正常运行造成影响的建筑物或者永久性构筑物，且在一个评估周期内整改完成的。或者在以上区域，新增对机场正常运行造成影响的临时性构筑物或者施工机械。</w:t>
            </w:r>
          </w:p>
          <w:p w14:paraId="3AC34C3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注：</w:t>
            </w:r>
            <w:r>
              <w:rPr>
                <w:rFonts w:hint="eastAsia" w:ascii="仿宋_GB2312" w:hAnsi="仿宋_GB2312" w:eastAsia="仿宋_GB2312" w:cs="仿宋_GB2312"/>
                <w:kern w:val="0"/>
                <w:szCs w:val="21"/>
              </w:rPr>
              <w:t>《民用机场飞行区技术标准》（MH5001）中障碍物限制面相关条款按照《国际民用航空公约》附件14第I卷的第18次修订内容修订前，按照</w:t>
            </w:r>
            <w:bookmarkStart w:id="0" w:name="OLE_LINK3"/>
            <w:bookmarkStart w:id="1" w:name="OLE_LINK2"/>
            <w:r>
              <w:rPr>
                <w:rFonts w:hint="eastAsia" w:ascii="仿宋_GB2312" w:hAnsi="仿宋_GB2312" w:eastAsia="仿宋_GB2312" w:cs="仿宋_GB2312"/>
                <w:kern w:val="0"/>
                <w:szCs w:val="21"/>
              </w:rPr>
              <w:t>判定标准1</w:t>
            </w:r>
            <w:bookmarkEnd w:id="0"/>
            <w:bookmarkEnd w:id="1"/>
            <w:r>
              <w:rPr>
                <w:rFonts w:hint="eastAsia" w:ascii="仿宋_GB2312" w:hAnsi="仿宋_GB2312" w:eastAsia="仿宋_GB2312" w:cs="仿宋_GB2312"/>
                <w:kern w:val="0"/>
                <w:szCs w:val="21"/>
              </w:rPr>
              <w:t>执行；修订后，按照判定标准2执行。</w:t>
            </w:r>
          </w:p>
        </w:tc>
        <w:tc>
          <w:tcPr>
            <w:tcW w:w="255" w:type="pct"/>
            <w:vMerge w:val="restart"/>
            <w:shd w:val="clear" w:color="auto" w:fill="auto"/>
            <w:vAlign w:val="center"/>
          </w:tcPr>
          <w:p w14:paraId="714FF0BC">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58AB636C">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第1起扣3分</w:t>
            </w:r>
          </w:p>
        </w:tc>
      </w:tr>
      <w:tr w14:paraId="4072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2262905">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3D009549">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5A6BDDB8">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7725D1A1">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00E7FC03">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E374D9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第2起扣5分</w:t>
            </w:r>
          </w:p>
        </w:tc>
      </w:tr>
      <w:tr w14:paraId="0E9F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4" w:type="pct"/>
            <w:vMerge w:val="continue"/>
            <w:shd w:val="clear" w:color="auto" w:fill="auto"/>
            <w:vAlign w:val="center"/>
          </w:tcPr>
          <w:p w14:paraId="7974F9AE">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179B8A11">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450C5969">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05CEE392">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6CFD0405">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C2000A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第3起及以上每起扣8分</w:t>
            </w:r>
          </w:p>
        </w:tc>
      </w:tr>
      <w:tr w14:paraId="38E7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5ECD4BE">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6718A4BF">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2E0C5F41">
            <w:pPr>
              <w:widowControl/>
              <w:snapToGrid w:val="0"/>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无人机管理</w:t>
            </w:r>
          </w:p>
        </w:tc>
        <w:tc>
          <w:tcPr>
            <w:tcW w:w="1988" w:type="pct"/>
            <w:gridSpan w:val="3"/>
            <w:vMerge w:val="restart"/>
            <w:shd w:val="clear" w:color="auto" w:fill="auto"/>
            <w:vAlign w:val="center"/>
          </w:tcPr>
          <w:p w14:paraId="39401796">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发生无人机扰航事件，</w:t>
            </w:r>
            <w:r>
              <w:rPr>
                <w:rFonts w:hint="eastAsia" w:ascii="仿宋_GB2312" w:hAnsi="仿宋_GB2312" w:eastAsia="仿宋_GB2312" w:cs="仿宋_GB2312"/>
                <w:kern w:val="0"/>
                <w:szCs w:val="21"/>
                <w:highlight w:val="none"/>
                <w:lang w:val="en-US" w:eastAsia="zh-CN"/>
              </w:rPr>
              <w:t>经</w:t>
            </w:r>
            <w:r>
              <w:rPr>
                <w:rFonts w:hint="eastAsia" w:ascii="仿宋_GB2312" w:hAnsi="仿宋_GB2312" w:eastAsia="仿宋_GB2312" w:cs="仿宋_GB2312"/>
                <w:kern w:val="0"/>
                <w:szCs w:val="21"/>
                <w:highlight w:val="none"/>
                <w:lang w:eastAsia="zh-CN"/>
              </w:rPr>
              <w:t>民航行政机关</w:t>
            </w:r>
            <w:r>
              <w:rPr>
                <w:rFonts w:hint="eastAsia" w:ascii="仿宋_GB2312" w:hAnsi="仿宋_GB2312" w:eastAsia="仿宋_GB2312" w:cs="仿宋_GB2312"/>
                <w:kern w:val="0"/>
                <w:szCs w:val="21"/>
                <w:highlight w:val="none"/>
              </w:rPr>
              <w:t>调查、组织复盘或</w:t>
            </w:r>
            <w:r>
              <w:rPr>
                <w:rFonts w:hint="eastAsia" w:ascii="仿宋_GB2312" w:hAnsi="仿宋_GB2312" w:eastAsia="仿宋_GB2312" w:cs="仿宋_GB2312"/>
                <w:kern w:val="0"/>
                <w:szCs w:val="21"/>
                <w:lang w:val="en-US" w:eastAsia="zh-CN"/>
              </w:rPr>
              <w:t>者</w:t>
            </w:r>
            <w:r>
              <w:rPr>
                <w:rFonts w:hint="eastAsia" w:ascii="仿宋_GB2312" w:hAnsi="仿宋_GB2312" w:eastAsia="仿宋_GB2312" w:cs="仿宋_GB2312"/>
                <w:kern w:val="0"/>
                <w:szCs w:val="21"/>
                <w:highlight w:val="none"/>
              </w:rPr>
              <w:t>通报认定机场未按有关规定处置或</w:t>
            </w:r>
            <w:r>
              <w:rPr>
                <w:rFonts w:hint="eastAsia" w:ascii="仿宋_GB2312" w:hAnsi="仿宋_GB2312" w:eastAsia="仿宋_GB2312" w:cs="仿宋_GB2312"/>
                <w:kern w:val="0"/>
                <w:szCs w:val="21"/>
                <w:highlight w:val="none"/>
                <w:lang w:val="en-US" w:eastAsia="zh-CN"/>
              </w:rPr>
              <w:t>者</w:t>
            </w:r>
            <w:r>
              <w:rPr>
                <w:rFonts w:hint="eastAsia" w:ascii="仿宋_GB2312" w:hAnsi="仿宋_GB2312" w:eastAsia="仿宋_GB2312" w:cs="仿宋_GB2312"/>
                <w:kern w:val="0"/>
                <w:szCs w:val="21"/>
                <w:highlight w:val="none"/>
              </w:rPr>
              <w:t>处置不当。</w:t>
            </w:r>
          </w:p>
        </w:tc>
        <w:tc>
          <w:tcPr>
            <w:tcW w:w="255" w:type="pct"/>
            <w:vMerge w:val="restart"/>
            <w:shd w:val="clear" w:color="auto" w:fill="auto"/>
            <w:vAlign w:val="center"/>
          </w:tcPr>
          <w:p w14:paraId="72B9AABA">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5</w:t>
            </w:r>
          </w:p>
        </w:tc>
        <w:tc>
          <w:tcPr>
            <w:tcW w:w="1253" w:type="pct"/>
            <w:shd w:val="clear" w:color="auto" w:fill="auto"/>
            <w:vAlign w:val="center"/>
          </w:tcPr>
          <w:p w14:paraId="231BEDB7">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第1起扣5分</w:t>
            </w:r>
          </w:p>
        </w:tc>
      </w:tr>
      <w:tr w14:paraId="1208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0FB508B">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77F67B9E">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55F1DEA6">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606A6562">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4084E322">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39546CF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第2起扣10分</w:t>
            </w:r>
          </w:p>
        </w:tc>
      </w:tr>
      <w:tr w14:paraId="00F9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639340B3">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E493839">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B4D2234">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7F478516">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773004A0">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79C6A288">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第3起及以上每起扣15分</w:t>
            </w:r>
          </w:p>
        </w:tc>
      </w:tr>
      <w:tr w14:paraId="6FE4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63EDE39B">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69AA1EF7">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2B39E76D">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空飘物</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US" w:eastAsia="zh-CN"/>
              </w:rPr>
              <w:t>含孔明灯、风筝</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管理</w:t>
            </w:r>
          </w:p>
        </w:tc>
        <w:tc>
          <w:tcPr>
            <w:tcW w:w="1988" w:type="pct"/>
            <w:gridSpan w:val="3"/>
            <w:vMerge w:val="restart"/>
            <w:shd w:val="clear" w:color="auto" w:fill="auto"/>
            <w:vAlign w:val="center"/>
          </w:tcPr>
          <w:p w14:paraId="556656F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在机场跑滑区域或</w:t>
            </w:r>
            <w:r>
              <w:rPr>
                <w:rFonts w:hint="eastAsia" w:ascii="仿宋_GB2312" w:hAnsi="仿宋_GB2312" w:eastAsia="仿宋_GB2312" w:cs="仿宋_GB2312"/>
                <w:kern w:val="0"/>
                <w:szCs w:val="21"/>
                <w:lang w:val="en-US" w:eastAsia="zh-CN"/>
              </w:rPr>
              <w:t>者</w:t>
            </w:r>
            <w:r>
              <w:rPr>
                <w:rFonts w:hint="eastAsia" w:ascii="仿宋_GB2312" w:hAnsi="仿宋_GB2312" w:eastAsia="仿宋_GB2312" w:cs="仿宋_GB2312"/>
                <w:kern w:val="0"/>
                <w:szCs w:val="21"/>
              </w:rPr>
              <w:t>跑道两端航道区域内出现空飘物且影响机场正常运行的净空管理事件。</w:t>
            </w:r>
          </w:p>
        </w:tc>
        <w:tc>
          <w:tcPr>
            <w:tcW w:w="255" w:type="pct"/>
            <w:vMerge w:val="restart"/>
            <w:shd w:val="clear" w:color="auto" w:fill="auto"/>
            <w:vAlign w:val="center"/>
          </w:tcPr>
          <w:p w14:paraId="5222DEA7">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7662209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第1起扣0.25分</w:t>
            </w:r>
          </w:p>
        </w:tc>
      </w:tr>
      <w:tr w14:paraId="0265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81E0DFF">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40BA942">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6E69169A">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5094F2AD">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7D2EC3DD">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F8622A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第2起扣0.5分</w:t>
            </w:r>
          </w:p>
        </w:tc>
      </w:tr>
      <w:tr w14:paraId="33F7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E0AD7DD">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107FFDF">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4AEFDC89">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6EEC5B65">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7C7B138B">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423EE9C">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第3起及以上每起扣1分</w:t>
            </w:r>
          </w:p>
        </w:tc>
      </w:tr>
      <w:tr w14:paraId="57B7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1995FD8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487" w:type="pct"/>
            <w:vMerge w:val="restart"/>
            <w:shd w:val="clear" w:color="auto" w:fill="auto"/>
            <w:vAlign w:val="center"/>
          </w:tcPr>
          <w:p w14:paraId="4377EB53">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航空器刮碰事件</w:t>
            </w:r>
          </w:p>
        </w:tc>
        <w:tc>
          <w:tcPr>
            <w:tcW w:w="700" w:type="pct"/>
            <w:vMerge w:val="restart"/>
            <w:shd w:val="clear" w:color="auto" w:fill="auto"/>
            <w:vAlign w:val="center"/>
          </w:tcPr>
          <w:p w14:paraId="6A8BA57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征候</w:t>
            </w:r>
          </w:p>
        </w:tc>
        <w:tc>
          <w:tcPr>
            <w:tcW w:w="466" w:type="pct"/>
            <w:vMerge w:val="restart"/>
            <w:shd w:val="clear" w:color="auto" w:fill="auto"/>
            <w:vAlign w:val="center"/>
          </w:tcPr>
          <w:p w14:paraId="65D4517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w:t>
            </w:r>
          </w:p>
        </w:tc>
        <w:tc>
          <w:tcPr>
            <w:tcW w:w="1521" w:type="pct"/>
            <w:gridSpan w:val="2"/>
            <w:vMerge w:val="restart"/>
            <w:shd w:val="clear" w:color="auto" w:fill="auto"/>
            <w:vAlign w:val="center"/>
          </w:tcPr>
          <w:p w14:paraId="1D453F0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航班运行保障期间，在活动区内航空器与航空器、车辆或者其他物体发生刮碰，造成航空器受损（仅轮胎损坏除外）或者人员轻伤。</w:t>
            </w:r>
          </w:p>
        </w:tc>
        <w:tc>
          <w:tcPr>
            <w:tcW w:w="255" w:type="pct"/>
            <w:vMerge w:val="restart"/>
            <w:shd w:val="clear" w:color="auto" w:fill="auto"/>
            <w:vAlign w:val="center"/>
          </w:tcPr>
          <w:p w14:paraId="048FEDBA">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5</w:t>
            </w:r>
          </w:p>
        </w:tc>
        <w:tc>
          <w:tcPr>
            <w:tcW w:w="1253" w:type="pct"/>
            <w:shd w:val="clear" w:color="auto" w:fill="auto"/>
            <w:vAlign w:val="center"/>
          </w:tcPr>
          <w:p w14:paraId="15AAACDC">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第1起，A、B类机场扣5分，C类机场扣7分，D、E类机场扣10分</w:t>
            </w:r>
          </w:p>
        </w:tc>
      </w:tr>
      <w:tr w14:paraId="5920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0938C27">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7747701">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3A063C1A">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1C3C8A03">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59876364">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9FCC60D">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D86122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第2起，A、B类机场扣8分，C类机场扣10分，D、E类机场扣12分</w:t>
            </w:r>
          </w:p>
        </w:tc>
      </w:tr>
      <w:tr w14:paraId="09DA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FF86B71">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383EA50B">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564E6C6A">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19A1FB0C">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7628BB58">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13A823D2">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CD60DE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第3起及以上，A、B类机场每起扣10分，C类机场每起扣12分，D、E类机场每起扣15分</w:t>
            </w:r>
          </w:p>
        </w:tc>
      </w:tr>
      <w:tr w14:paraId="0E68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339F167">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00EED37D">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6534186E">
            <w:pPr>
              <w:widowControl/>
              <w:snapToGrid w:val="0"/>
              <w:jc w:val="left"/>
              <w:rPr>
                <w:rFonts w:hint="eastAsia" w:ascii="仿宋_GB2312" w:hAnsi="仿宋_GB2312" w:eastAsia="仿宋_GB2312" w:cs="仿宋_GB2312"/>
                <w:kern w:val="0"/>
                <w:szCs w:val="21"/>
              </w:rPr>
            </w:pPr>
          </w:p>
        </w:tc>
        <w:tc>
          <w:tcPr>
            <w:tcW w:w="466" w:type="pct"/>
            <w:vMerge w:val="restart"/>
            <w:shd w:val="clear" w:color="auto" w:fill="auto"/>
            <w:vAlign w:val="center"/>
          </w:tcPr>
          <w:p w14:paraId="1A9A32B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highlight w:val="none"/>
              </w:rPr>
              <w:t>非</w:t>
            </w:r>
            <w:r>
              <w:rPr>
                <w:rFonts w:hint="eastAsia" w:ascii="仿宋_GB2312" w:hAnsi="仿宋_GB2312" w:eastAsia="仿宋_GB2312" w:cs="仿宋_GB2312"/>
                <w:kern w:val="0"/>
                <w:szCs w:val="21"/>
                <w:highlight w:val="none"/>
                <w:lang w:eastAsia="zh-CN"/>
              </w:rPr>
              <w:t>机场运营人</w:t>
            </w:r>
            <w:r>
              <w:rPr>
                <w:rFonts w:hint="eastAsia" w:ascii="仿宋_GB2312" w:hAnsi="仿宋_GB2312" w:eastAsia="仿宋_GB2312" w:cs="仿宋_GB2312"/>
                <w:kern w:val="0"/>
                <w:szCs w:val="21"/>
                <w:highlight w:val="none"/>
              </w:rPr>
              <w:t>主责</w:t>
            </w:r>
          </w:p>
        </w:tc>
        <w:tc>
          <w:tcPr>
            <w:tcW w:w="1521" w:type="pct"/>
            <w:gridSpan w:val="2"/>
            <w:vMerge w:val="continue"/>
            <w:shd w:val="clear" w:color="auto" w:fill="auto"/>
            <w:vAlign w:val="center"/>
          </w:tcPr>
          <w:p w14:paraId="28996EDA">
            <w:pPr>
              <w:widowControl/>
              <w:snapToGrid w:val="0"/>
              <w:jc w:val="left"/>
              <w:rPr>
                <w:rFonts w:hint="eastAsia" w:ascii="仿宋_GB2312" w:hAnsi="仿宋_GB2312" w:eastAsia="仿宋_GB2312" w:cs="仿宋_GB2312"/>
                <w:kern w:val="0"/>
                <w:szCs w:val="21"/>
              </w:rPr>
            </w:pPr>
          </w:p>
        </w:tc>
        <w:tc>
          <w:tcPr>
            <w:tcW w:w="255" w:type="pct"/>
            <w:vMerge w:val="restart"/>
            <w:shd w:val="clear" w:color="auto" w:fill="auto"/>
            <w:vAlign w:val="center"/>
          </w:tcPr>
          <w:p w14:paraId="213E7425">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2</w:t>
            </w:r>
          </w:p>
        </w:tc>
        <w:tc>
          <w:tcPr>
            <w:tcW w:w="1253" w:type="pct"/>
            <w:shd w:val="clear" w:color="auto" w:fill="auto"/>
            <w:vAlign w:val="center"/>
          </w:tcPr>
          <w:p w14:paraId="7182D83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第1起，A、B类机场扣2分，C类机场扣3分，D、E类机场扣4分</w:t>
            </w:r>
          </w:p>
        </w:tc>
      </w:tr>
      <w:tr w14:paraId="7F65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E86BE96">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724A6A97">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BE8047D">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7F00FCF5">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63F54321">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531D3A34">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2B2490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第2起，A、B类机场扣4分，C类机场扣5分，D、E类机场扣6分</w:t>
            </w:r>
          </w:p>
        </w:tc>
      </w:tr>
      <w:tr w14:paraId="5431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233F4A0">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E3C5067">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0AE554B1">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1AEEC98B">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55B698A9">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590B69F4">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AB8D28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第3起及以上，A、B类机场每起扣6分，C类机场每起扣8分，D、E类机场每起扣10分</w:t>
            </w:r>
          </w:p>
        </w:tc>
      </w:tr>
      <w:tr w14:paraId="5559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E355B81">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60045262">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20D9507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一般事件</w:t>
            </w:r>
          </w:p>
        </w:tc>
        <w:tc>
          <w:tcPr>
            <w:tcW w:w="466" w:type="pct"/>
            <w:vMerge w:val="restart"/>
            <w:shd w:val="clear" w:color="auto" w:fill="auto"/>
            <w:vAlign w:val="center"/>
          </w:tcPr>
          <w:p w14:paraId="4BEFECE5">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机场运营人</w:t>
            </w:r>
          </w:p>
          <w:p w14:paraId="4E5FF1F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主责</w:t>
            </w:r>
          </w:p>
        </w:tc>
        <w:tc>
          <w:tcPr>
            <w:tcW w:w="1521" w:type="pct"/>
            <w:gridSpan w:val="2"/>
            <w:vMerge w:val="restart"/>
            <w:shd w:val="clear" w:color="auto" w:fill="auto"/>
            <w:vAlign w:val="center"/>
          </w:tcPr>
          <w:p w14:paraId="51D29CB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航班运行保障期间，除征候外，在活动区内航空器与航空器、车辆或者其他物体发生刮碰。</w:t>
            </w:r>
          </w:p>
        </w:tc>
        <w:tc>
          <w:tcPr>
            <w:tcW w:w="255" w:type="pct"/>
            <w:vMerge w:val="restart"/>
            <w:shd w:val="clear" w:color="auto" w:fill="auto"/>
            <w:vAlign w:val="center"/>
          </w:tcPr>
          <w:p w14:paraId="17D23E32">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2</w:t>
            </w:r>
          </w:p>
        </w:tc>
        <w:tc>
          <w:tcPr>
            <w:tcW w:w="1253" w:type="pct"/>
            <w:shd w:val="clear" w:color="auto" w:fill="auto"/>
            <w:vAlign w:val="center"/>
          </w:tcPr>
          <w:p w14:paraId="3390DFD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第1起，A、B类机场扣2分，C类机场扣3分，D、E类机场扣4分</w:t>
            </w:r>
          </w:p>
        </w:tc>
      </w:tr>
      <w:tr w14:paraId="1463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5972585C">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2B4AAED">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380DEFFC">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09BC5EA2">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1A87164A">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4B6ED984">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42F6C3FB">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第2起，A、B类机场扣4分，C类机场扣5分，D、E类机场扣6分</w:t>
            </w:r>
          </w:p>
        </w:tc>
      </w:tr>
      <w:tr w14:paraId="44EF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6225F15">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7FA67BCC">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30E832C7">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6F0C4E6">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6DBE85C4">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411EA4B8">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471577E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第3起及以上，A、B类机场每起扣6分，C类机场每起扣8分，D、E类机场每起扣10分</w:t>
            </w:r>
          </w:p>
        </w:tc>
      </w:tr>
      <w:tr w14:paraId="1740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36C1E16">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25CB1A4B">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7BBC8316">
            <w:pPr>
              <w:widowControl/>
              <w:snapToGrid w:val="0"/>
              <w:jc w:val="left"/>
              <w:rPr>
                <w:rFonts w:hint="eastAsia" w:ascii="仿宋_GB2312" w:hAnsi="仿宋_GB2312" w:eastAsia="仿宋_GB2312" w:cs="仿宋_GB2312"/>
                <w:kern w:val="0"/>
                <w:szCs w:val="21"/>
              </w:rPr>
            </w:pPr>
          </w:p>
        </w:tc>
        <w:tc>
          <w:tcPr>
            <w:tcW w:w="466" w:type="pct"/>
            <w:vMerge w:val="restart"/>
            <w:shd w:val="clear" w:color="auto" w:fill="auto"/>
            <w:vAlign w:val="center"/>
          </w:tcPr>
          <w:p w14:paraId="09FDED04">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w:t>
            </w:r>
          </w:p>
        </w:tc>
        <w:tc>
          <w:tcPr>
            <w:tcW w:w="1521" w:type="pct"/>
            <w:gridSpan w:val="2"/>
            <w:vMerge w:val="continue"/>
            <w:shd w:val="clear" w:color="auto" w:fill="auto"/>
            <w:vAlign w:val="center"/>
          </w:tcPr>
          <w:p w14:paraId="6D7A560B">
            <w:pPr>
              <w:widowControl/>
              <w:snapToGrid w:val="0"/>
              <w:jc w:val="left"/>
              <w:rPr>
                <w:rFonts w:hint="eastAsia" w:ascii="仿宋_GB2312" w:hAnsi="仿宋_GB2312" w:eastAsia="仿宋_GB2312" w:cs="仿宋_GB2312"/>
                <w:kern w:val="0"/>
                <w:szCs w:val="21"/>
              </w:rPr>
            </w:pPr>
          </w:p>
        </w:tc>
        <w:tc>
          <w:tcPr>
            <w:tcW w:w="255" w:type="pct"/>
            <w:vMerge w:val="restart"/>
            <w:shd w:val="clear" w:color="auto" w:fill="auto"/>
            <w:vAlign w:val="center"/>
          </w:tcPr>
          <w:p w14:paraId="0943C88E">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245EC18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第1起，A、B类机场扣1分，C类机场扣2分，D、E类机场扣3分</w:t>
            </w:r>
          </w:p>
        </w:tc>
      </w:tr>
      <w:tr w14:paraId="4349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8FEE247">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053B6EF3">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541C19BF">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55149A70">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1275A3AA">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46147697">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385ED27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第2起，A、B类机场扣2分，C类机场扣3分，D、E类机场扣4分</w:t>
            </w:r>
          </w:p>
        </w:tc>
      </w:tr>
      <w:tr w14:paraId="439C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48B687C">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23345AA1">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A859673">
            <w:pPr>
              <w:widowControl/>
              <w:snapToGrid w:val="0"/>
              <w:jc w:val="left"/>
              <w:rPr>
                <w:rFonts w:hint="eastAsia" w:ascii="仿宋_GB2312" w:hAnsi="仿宋_GB2312" w:eastAsia="仿宋_GB2312" w:cs="仿宋_GB2312"/>
                <w:kern w:val="0"/>
                <w:szCs w:val="21"/>
              </w:rPr>
            </w:pPr>
          </w:p>
        </w:tc>
        <w:tc>
          <w:tcPr>
            <w:tcW w:w="466" w:type="pct"/>
            <w:vMerge w:val="continue"/>
            <w:shd w:val="clear" w:color="auto" w:fill="auto"/>
            <w:vAlign w:val="center"/>
          </w:tcPr>
          <w:p w14:paraId="61E989F3">
            <w:pPr>
              <w:widowControl/>
              <w:snapToGrid w:val="0"/>
              <w:jc w:val="center"/>
              <w:rPr>
                <w:rFonts w:hint="eastAsia" w:ascii="仿宋_GB2312" w:hAnsi="仿宋_GB2312" w:eastAsia="仿宋_GB2312" w:cs="仿宋_GB2312"/>
                <w:kern w:val="0"/>
                <w:szCs w:val="21"/>
              </w:rPr>
            </w:pPr>
          </w:p>
        </w:tc>
        <w:tc>
          <w:tcPr>
            <w:tcW w:w="1521" w:type="pct"/>
            <w:gridSpan w:val="2"/>
            <w:vMerge w:val="continue"/>
            <w:shd w:val="clear" w:color="auto" w:fill="auto"/>
            <w:vAlign w:val="center"/>
          </w:tcPr>
          <w:p w14:paraId="575E16C1">
            <w:pPr>
              <w:widowControl/>
              <w:snapToGrid w:val="0"/>
              <w:jc w:val="left"/>
              <w:rPr>
                <w:rFonts w:hint="eastAsia" w:ascii="仿宋_GB2312" w:hAnsi="仿宋_GB2312" w:eastAsia="仿宋_GB2312" w:cs="仿宋_GB2312"/>
                <w:kern w:val="0"/>
                <w:szCs w:val="21"/>
              </w:rPr>
            </w:pPr>
          </w:p>
        </w:tc>
        <w:tc>
          <w:tcPr>
            <w:tcW w:w="255" w:type="pct"/>
            <w:vMerge w:val="continue"/>
            <w:shd w:val="clear" w:color="auto" w:fill="auto"/>
            <w:vAlign w:val="center"/>
          </w:tcPr>
          <w:p w14:paraId="4F9BBE08">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2DDEF5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第3起及以上，A、B类机场每起扣4分，C类机场每起扣5分，D、E类机场每起扣6分</w:t>
            </w:r>
          </w:p>
        </w:tc>
      </w:tr>
      <w:tr w14:paraId="3216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1D057374">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487" w:type="pct"/>
            <w:vMerge w:val="restart"/>
            <w:shd w:val="clear" w:color="auto" w:fill="auto"/>
            <w:vAlign w:val="center"/>
          </w:tcPr>
          <w:p w14:paraId="4D3954C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鸟击事件</w:t>
            </w:r>
          </w:p>
          <w:p w14:paraId="0908570C">
            <w:pPr>
              <w:widowControl/>
              <w:snapToGrid w:val="0"/>
              <w:jc w:val="center"/>
              <w:rPr>
                <w:rFonts w:hint="eastAsia" w:ascii="仿宋_GB2312" w:hAnsi="仿宋_GB2312" w:eastAsia="仿宋_GB2312" w:cs="仿宋_GB2312"/>
                <w:strike/>
                <w:kern w:val="0"/>
                <w:szCs w:val="21"/>
              </w:rPr>
            </w:pPr>
          </w:p>
        </w:tc>
        <w:tc>
          <w:tcPr>
            <w:tcW w:w="700" w:type="pct"/>
            <w:vMerge w:val="restart"/>
            <w:shd w:val="clear" w:color="auto" w:fill="auto"/>
            <w:vAlign w:val="center"/>
          </w:tcPr>
          <w:p w14:paraId="14C7E70A">
            <w:pPr>
              <w:widowControl/>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严重征候</w:t>
            </w:r>
          </w:p>
        </w:tc>
        <w:tc>
          <w:tcPr>
            <w:tcW w:w="1988" w:type="pct"/>
            <w:gridSpan w:val="3"/>
            <w:vMerge w:val="restart"/>
            <w:shd w:val="clear" w:color="auto" w:fill="auto"/>
            <w:vAlign w:val="center"/>
          </w:tcPr>
          <w:p w14:paraId="2892F9B3">
            <w:pPr>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调查认定为机场邻近区域的鸟击严重征候。</w:t>
            </w:r>
          </w:p>
        </w:tc>
        <w:tc>
          <w:tcPr>
            <w:tcW w:w="255" w:type="pct"/>
            <w:vMerge w:val="restart"/>
            <w:shd w:val="clear" w:color="auto" w:fill="auto"/>
            <w:vAlign w:val="center"/>
          </w:tcPr>
          <w:p w14:paraId="562D145B">
            <w:pPr>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41E87BD8">
            <w:pPr>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第1起，A、B类机场扣3分，C类机场扣5分，D、E类机场扣8分</w:t>
            </w:r>
          </w:p>
        </w:tc>
      </w:tr>
      <w:tr w14:paraId="04AA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BF541BE">
            <w:pPr>
              <w:widowControl/>
              <w:snapToGrid w:val="0"/>
              <w:rPr>
                <w:rFonts w:hint="eastAsia" w:ascii="仿宋_GB2312" w:hAnsi="仿宋_GB2312" w:eastAsia="仿宋_GB2312" w:cs="仿宋_GB2312"/>
              </w:rPr>
            </w:pPr>
          </w:p>
        </w:tc>
        <w:tc>
          <w:tcPr>
            <w:tcW w:w="487" w:type="pct"/>
            <w:vMerge w:val="continue"/>
            <w:shd w:val="clear" w:color="auto" w:fill="auto"/>
            <w:vAlign w:val="center"/>
          </w:tcPr>
          <w:p w14:paraId="4B7FBFA1">
            <w:pPr>
              <w:widowControl/>
              <w:snapToGrid w:val="0"/>
              <w:rPr>
                <w:rFonts w:hint="eastAsia" w:ascii="仿宋_GB2312" w:hAnsi="仿宋_GB2312" w:eastAsia="仿宋_GB2312" w:cs="仿宋_GB2312"/>
              </w:rPr>
            </w:pPr>
          </w:p>
        </w:tc>
        <w:tc>
          <w:tcPr>
            <w:tcW w:w="700" w:type="pct"/>
            <w:vMerge w:val="continue"/>
            <w:shd w:val="clear" w:color="auto" w:fill="auto"/>
            <w:vAlign w:val="center"/>
          </w:tcPr>
          <w:p w14:paraId="72250715">
            <w:pPr>
              <w:widowControl/>
              <w:snapToGrid w:val="0"/>
              <w:rPr>
                <w:rFonts w:hint="eastAsia" w:ascii="仿宋_GB2312" w:hAnsi="仿宋_GB2312" w:eastAsia="仿宋_GB2312" w:cs="仿宋_GB2312"/>
              </w:rPr>
            </w:pPr>
          </w:p>
        </w:tc>
        <w:tc>
          <w:tcPr>
            <w:tcW w:w="1988" w:type="pct"/>
            <w:gridSpan w:val="3"/>
            <w:vMerge w:val="continue"/>
            <w:shd w:val="clear" w:color="auto" w:fill="auto"/>
            <w:vAlign w:val="center"/>
          </w:tcPr>
          <w:p w14:paraId="7524B667">
            <w:pPr>
              <w:widowControl/>
              <w:snapToGrid w:val="0"/>
              <w:rPr>
                <w:rFonts w:hint="eastAsia" w:ascii="仿宋_GB2312" w:hAnsi="仿宋_GB2312" w:eastAsia="仿宋_GB2312" w:cs="仿宋_GB2312"/>
              </w:rPr>
            </w:pPr>
          </w:p>
        </w:tc>
        <w:tc>
          <w:tcPr>
            <w:tcW w:w="255" w:type="pct"/>
            <w:vMerge w:val="continue"/>
            <w:shd w:val="clear" w:color="auto" w:fill="auto"/>
            <w:vAlign w:val="center"/>
          </w:tcPr>
          <w:p w14:paraId="5BEFD39F">
            <w:pPr>
              <w:widowControl/>
              <w:snapToGrid w:val="0"/>
              <w:rPr>
                <w:rFonts w:hint="eastAsia" w:ascii="仿宋_GB2312" w:hAnsi="仿宋_GB2312" w:eastAsia="仿宋_GB2312" w:cs="仿宋_GB2312"/>
              </w:rPr>
            </w:pPr>
          </w:p>
        </w:tc>
        <w:tc>
          <w:tcPr>
            <w:tcW w:w="1253" w:type="pct"/>
            <w:shd w:val="clear" w:color="auto" w:fill="auto"/>
            <w:vAlign w:val="center"/>
          </w:tcPr>
          <w:p w14:paraId="18248E2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第2起，A、B类机场扣5分，C类机场扣10分，D、E类机场扣15分</w:t>
            </w:r>
          </w:p>
        </w:tc>
      </w:tr>
      <w:tr w14:paraId="17F2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2AEE6B6">
            <w:pPr>
              <w:widowControl/>
              <w:snapToGrid w:val="0"/>
              <w:rPr>
                <w:rFonts w:hint="eastAsia" w:ascii="仿宋_GB2312" w:hAnsi="仿宋_GB2312" w:eastAsia="仿宋_GB2312" w:cs="仿宋_GB2312"/>
                <w:kern w:val="0"/>
                <w:szCs w:val="21"/>
              </w:rPr>
            </w:pPr>
          </w:p>
        </w:tc>
        <w:tc>
          <w:tcPr>
            <w:tcW w:w="487" w:type="pct"/>
            <w:vMerge w:val="continue"/>
            <w:shd w:val="clear" w:color="auto" w:fill="auto"/>
            <w:vAlign w:val="center"/>
          </w:tcPr>
          <w:p w14:paraId="372FA6F8">
            <w:pPr>
              <w:widowControl/>
              <w:snapToGrid w:val="0"/>
              <w:rPr>
                <w:rFonts w:hint="eastAsia" w:ascii="仿宋_GB2312" w:hAnsi="仿宋_GB2312" w:eastAsia="仿宋_GB2312" w:cs="仿宋_GB2312"/>
                <w:kern w:val="0"/>
                <w:szCs w:val="21"/>
              </w:rPr>
            </w:pPr>
          </w:p>
        </w:tc>
        <w:tc>
          <w:tcPr>
            <w:tcW w:w="700" w:type="pct"/>
            <w:vMerge w:val="continue"/>
            <w:shd w:val="clear" w:color="auto" w:fill="auto"/>
            <w:vAlign w:val="center"/>
          </w:tcPr>
          <w:p w14:paraId="11A4AAEA">
            <w:pPr>
              <w:widowControl/>
              <w:snapToGrid w:val="0"/>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23CA7748">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2A3DB50A">
            <w:pPr>
              <w:widowControl/>
              <w:snapToGrid w:val="0"/>
              <w:rPr>
                <w:rFonts w:hint="eastAsia" w:ascii="仿宋_GB2312" w:hAnsi="仿宋_GB2312" w:eastAsia="仿宋_GB2312" w:cs="仿宋_GB2312"/>
                <w:kern w:val="0"/>
                <w:szCs w:val="21"/>
              </w:rPr>
            </w:pPr>
          </w:p>
        </w:tc>
        <w:tc>
          <w:tcPr>
            <w:tcW w:w="1253" w:type="pct"/>
            <w:shd w:val="clear" w:color="auto" w:fill="auto"/>
            <w:vAlign w:val="center"/>
          </w:tcPr>
          <w:p w14:paraId="12A9E53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第3起及以上，A、B类机场每起扣10分，C类机场每起扣15分，D、E类机场每起扣20分</w:t>
            </w:r>
          </w:p>
        </w:tc>
      </w:tr>
      <w:tr w14:paraId="5813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ACBA7CB">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3B1F783">
            <w:pPr>
              <w:widowControl/>
              <w:snapToGrid w:val="0"/>
              <w:jc w:val="center"/>
              <w:rPr>
                <w:rFonts w:hint="eastAsia" w:ascii="仿宋_GB2312" w:hAnsi="仿宋_GB2312" w:eastAsia="仿宋_GB2312" w:cs="仿宋_GB2312"/>
                <w:kern w:val="0"/>
                <w:szCs w:val="21"/>
              </w:rPr>
            </w:pPr>
          </w:p>
        </w:tc>
        <w:tc>
          <w:tcPr>
            <w:tcW w:w="700" w:type="pct"/>
            <w:vMerge w:val="restart"/>
            <w:shd w:val="clear" w:color="auto" w:fill="auto"/>
            <w:vAlign w:val="center"/>
          </w:tcPr>
          <w:p w14:paraId="4F54226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一般征候</w:t>
            </w:r>
          </w:p>
        </w:tc>
        <w:tc>
          <w:tcPr>
            <w:tcW w:w="1988" w:type="pct"/>
            <w:gridSpan w:val="3"/>
            <w:vMerge w:val="restart"/>
            <w:shd w:val="clear" w:color="auto" w:fill="auto"/>
            <w:vAlign w:val="center"/>
          </w:tcPr>
          <w:p w14:paraId="44B04C5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调查认定为机场内的鸟击一般征候。</w:t>
            </w:r>
          </w:p>
        </w:tc>
        <w:tc>
          <w:tcPr>
            <w:tcW w:w="255" w:type="pct"/>
            <w:vMerge w:val="restart"/>
            <w:shd w:val="clear" w:color="auto" w:fill="auto"/>
            <w:vAlign w:val="center"/>
          </w:tcPr>
          <w:p w14:paraId="3A6CEEFC">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5</w:t>
            </w:r>
          </w:p>
        </w:tc>
        <w:tc>
          <w:tcPr>
            <w:tcW w:w="1253" w:type="pct"/>
            <w:shd w:val="clear" w:color="auto" w:fill="auto"/>
            <w:vAlign w:val="center"/>
          </w:tcPr>
          <w:p w14:paraId="630AD5F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第1起，A、B类机场扣5分，C类机场扣6分，D、E类机场扣7分</w:t>
            </w:r>
          </w:p>
        </w:tc>
      </w:tr>
      <w:tr w14:paraId="3A86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8C22209">
            <w:pPr>
              <w:widowControl/>
              <w:snapToGrid w:val="0"/>
              <w:rPr>
                <w:rFonts w:hint="eastAsia" w:ascii="仿宋_GB2312" w:hAnsi="仿宋_GB2312" w:eastAsia="仿宋_GB2312" w:cs="仿宋_GB2312"/>
              </w:rPr>
            </w:pPr>
          </w:p>
        </w:tc>
        <w:tc>
          <w:tcPr>
            <w:tcW w:w="487" w:type="pct"/>
            <w:vMerge w:val="continue"/>
            <w:shd w:val="clear" w:color="auto" w:fill="auto"/>
            <w:vAlign w:val="center"/>
          </w:tcPr>
          <w:p w14:paraId="41506886">
            <w:pPr>
              <w:widowControl/>
              <w:snapToGrid w:val="0"/>
              <w:rPr>
                <w:rFonts w:hint="eastAsia" w:ascii="仿宋_GB2312" w:hAnsi="仿宋_GB2312" w:eastAsia="仿宋_GB2312" w:cs="仿宋_GB2312"/>
              </w:rPr>
            </w:pPr>
          </w:p>
        </w:tc>
        <w:tc>
          <w:tcPr>
            <w:tcW w:w="700" w:type="pct"/>
            <w:vMerge w:val="continue"/>
            <w:shd w:val="clear" w:color="auto" w:fill="auto"/>
            <w:vAlign w:val="center"/>
          </w:tcPr>
          <w:p w14:paraId="36ABEAED">
            <w:pPr>
              <w:widowControl/>
              <w:snapToGrid w:val="0"/>
              <w:rPr>
                <w:rFonts w:hint="eastAsia" w:ascii="仿宋_GB2312" w:hAnsi="仿宋_GB2312" w:eastAsia="仿宋_GB2312" w:cs="仿宋_GB2312"/>
              </w:rPr>
            </w:pPr>
          </w:p>
        </w:tc>
        <w:tc>
          <w:tcPr>
            <w:tcW w:w="1988" w:type="pct"/>
            <w:gridSpan w:val="3"/>
            <w:vMerge w:val="continue"/>
            <w:shd w:val="clear" w:color="auto" w:fill="auto"/>
            <w:vAlign w:val="center"/>
          </w:tcPr>
          <w:p w14:paraId="36E25A83">
            <w:pPr>
              <w:widowControl/>
              <w:snapToGrid w:val="0"/>
              <w:rPr>
                <w:rFonts w:hint="eastAsia" w:ascii="仿宋_GB2312" w:hAnsi="仿宋_GB2312" w:eastAsia="仿宋_GB2312" w:cs="仿宋_GB2312"/>
              </w:rPr>
            </w:pPr>
          </w:p>
        </w:tc>
        <w:tc>
          <w:tcPr>
            <w:tcW w:w="255" w:type="pct"/>
            <w:vMerge w:val="continue"/>
            <w:shd w:val="clear" w:color="auto" w:fill="auto"/>
            <w:vAlign w:val="center"/>
          </w:tcPr>
          <w:p w14:paraId="0E69575F">
            <w:pPr>
              <w:widowControl/>
              <w:snapToGrid w:val="0"/>
              <w:rPr>
                <w:rFonts w:hint="eastAsia" w:ascii="仿宋_GB2312" w:hAnsi="仿宋_GB2312" w:eastAsia="仿宋_GB2312" w:cs="仿宋_GB2312"/>
              </w:rPr>
            </w:pPr>
          </w:p>
        </w:tc>
        <w:tc>
          <w:tcPr>
            <w:tcW w:w="1253" w:type="pct"/>
            <w:shd w:val="clear" w:color="auto" w:fill="auto"/>
            <w:vAlign w:val="center"/>
          </w:tcPr>
          <w:p w14:paraId="70F7039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第2起，A、B类机场扣7分，C类机场扣8分，D、E类机场扣9分</w:t>
            </w:r>
          </w:p>
        </w:tc>
      </w:tr>
      <w:tr w14:paraId="0188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BB981AA">
            <w:pPr>
              <w:widowControl/>
              <w:snapToGrid w:val="0"/>
              <w:rPr>
                <w:rFonts w:hint="eastAsia" w:ascii="仿宋_GB2312" w:hAnsi="仿宋_GB2312" w:eastAsia="仿宋_GB2312" w:cs="仿宋_GB2312"/>
                <w:kern w:val="0"/>
                <w:szCs w:val="21"/>
              </w:rPr>
            </w:pPr>
          </w:p>
        </w:tc>
        <w:tc>
          <w:tcPr>
            <w:tcW w:w="487" w:type="pct"/>
            <w:vMerge w:val="continue"/>
            <w:shd w:val="clear" w:color="auto" w:fill="auto"/>
            <w:vAlign w:val="center"/>
          </w:tcPr>
          <w:p w14:paraId="3D935184">
            <w:pPr>
              <w:widowControl/>
              <w:snapToGrid w:val="0"/>
              <w:rPr>
                <w:rFonts w:hint="eastAsia" w:ascii="仿宋_GB2312" w:hAnsi="仿宋_GB2312" w:eastAsia="仿宋_GB2312" w:cs="仿宋_GB2312"/>
                <w:kern w:val="0"/>
                <w:szCs w:val="21"/>
              </w:rPr>
            </w:pPr>
          </w:p>
        </w:tc>
        <w:tc>
          <w:tcPr>
            <w:tcW w:w="700" w:type="pct"/>
            <w:vMerge w:val="continue"/>
            <w:shd w:val="clear" w:color="auto" w:fill="auto"/>
            <w:vAlign w:val="center"/>
          </w:tcPr>
          <w:p w14:paraId="2B346D1B">
            <w:pPr>
              <w:widowControl/>
              <w:snapToGrid w:val="0"/>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31AD6E41">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2800B094">
            <w:pPr>
              <w:widowControl/>
              <w:snapToGrid w:val="0"/>
              <w:rPr>
                <w:rFonts w:hint="eastAsia" w:ascii="仿宋_GB2312" w:hAnsi="仿宋_GB2312" w:eastAsia="仿宋_GB2312" w:cs="仿宋_GB2312"/>
                <w:kern w:val="0"/>
                <w:szCs w:val="21"/>
              </w:rPr>
            </w:pPr>
          </w:p>
        </w:tc>
        <w:tc>
          <w:tcPr>
            <w:tcW w:w="1253" w:type="pct"/>
            <w:shd w:val="clear" w:color="auto" w:fill="auto"/>
            <w:vAlign w:val="center"/>
          </w:tcPr>
          <w:p w14:paraId="26C9299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第3起及以上，A、B类机场每起扣10分，C类机场每起扣12分，D、E类机场每起扣15分</w:t>
            </w:r>
          </w:p>
        </w:tc>
      </w:tr>
      <w:tr w14:paraId="65B1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2ADA5FA">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5AC50830">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53D80543">
            <w:pPr>
              <w:widowControl/>
              <w:snapToGrid w:val="0"/>
              <w:jc w:val="center"/>
              <w:rPr>
                <w:rFonts w:hint="eastAsia" w:ascii="仿宋_GB2312" w:hAnsi="仿宋_GB2312" w:eastAsia="仿宋_GB2312" w:cs="仿宋_GB2312"/>
                <w:kern w:val="0"/>
                <w:szCs w:val="21"/>
              </w:rPr>
            </w:pPr>
          </w:p>
        </w:tc>
        <w:tc>
          <w:tcPr>
            <w:tcW w:w="1988" w:type="pct"/>
            <w:gridSpan w:val="3"/>
            <w:vMerge w:val="restart"/>
            <w:shd w:val="clear" w:color="auto" w:fill="auto"/>
            <w:vAlign w:val="center"/>
          </w:tcPr>
          <w:p w14:paraId="214EB46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highlight w:val="none"/>
              </w:rPr>
              <w:t>调查认定为机场邻近区域的鸟击一般征候。</w:t>
            </w:r>
          </w:p>
        </w:tc>
        <w:tc>
          <w:tcPr>
            <w:tcW w:w="255" w:type="pct"/>
            <w:vMerge w:val="restart"/>
            <w:shd w:val="clear" w:color="auto" w:fill="auto"/>
            <w:vAlign w:val="center"/>
          </w:tcPr>
          <w:p w14:paraId="636CB8AD">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2A419B3E">
            <w:pPr>
              <w:widowControl/>
              <w:snapToGrid w:val="0"/>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第1起，A、B类机场扣1分，C类机场扣1.5分，D、E类机场扣2分</w:t>
            </w:r>
          </w:p>
        </w:tc>
      </w:tr>
      <w:tr w14:paraId="4BFC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64C96C3F">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E4A8947">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C811AD9">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6FEFB731">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5A53D420">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A81A972">
            <w:pPr>
              <w:widowControl/>
              <w:snapToGrid w:val="0"/>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第2起，A、B类机场扣2分，C类机场扣3分，D、E类机场扣4分</w:t>
            </w:r>
          </w:p>
        </w:tc>
      </w:tr>
      <w:tr w14:paraId="5FB3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6854D85">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62FBA1C2">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6A798363">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52B26D17">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220FFC6D">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2A2AE470">
            <w:pPr>
              <w:widowControl/>
              <w:snapToGrid w:val="0"/>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第3起及以上，A、B类机场每起扣3分，C类机场每起扣4分，D、E类机场每起扣5分</w:t>
            </w:r>
          </w:p>
        </w:tc>
      </w:tr>
      <w:tr w14:paraId="574D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E93E286">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1FDA93F1">
            <w:pPr>
              <w:widowControl/>
              <w:snapToGrid w:val="0"/>
              <w:jc w:val="center"/>
              <w:rPr>
                <w:rFonts w:hint="eastAsia" w:ascii="仿宋_GB2312" w:hAnsi="仿宋_GB2312" w:eastAsia="仿宋_GB2312" w:cs="仿宋_GB2312"/>
                <w:kern w:val="0"/>
                <w:szCs w:val="21"/>
              </w:rPr>
            </w:pPr>
          </w:p>
        </w:tc>
        <w:tc>
          <w:tcPr>
            <w:tcW w:w="700" w:type="pct"/>
            <w:vMerge w:val="restart"/>
            <w:shd w:val="clear" w:color="auto" w:fill="auto"/>
            <w:vAlign w:val="center"/>
          </w:tcPr>
          <w:p w14:paraId="6851F05C">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一般事件</w:t>
            </w:r>
          </w:p>
        </w:tc>
        <w:tc>
          <w:tcPr>
            <w:tcW w:w="466" w:type="pct"/>
            <w:vMerge w:val="restart"/>
            <w:shd w:val="clear" w:color="auto" w:fill="auto"/>
            <w:vAlign w:val="center"/>
          </w:tcPr>
          <w:p w14:paraId="0E3EAEC5">
            <w:pPr>
              <w:widowControl/>
              <w:snapToGrid w:val="0"/>
              <w:rPr>
                <w:rFonts w:hint="eastAsia" w:ascii="仿宋_GB2312" w:hAnsi="仿宋_GB2312" w:eastAsia="仿宋_GB2312" w:cs="仿宋_GB2312"/>
                <w:strike/>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调查认定为机场内的鸟击一般事件。</w:t>
            </w:r>
          </w:p>
        </w:tc>
        <w:tc>
          <w:tcPr>
            <w:tcW w:w="397" w:type="pct"/>
            <w:vMerge w:val="restart"/>
            <w:shd w:val="clear" w:color="auto" w:fill="auto"/>
            <w:vAlign w:val="center"/>
          </w:tcPr>
          <w:p w14:paraId="22C09463">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危险鸟种</w:t>
            </w:r>
          </w:p>
        </w:tc>
        <w:tc>
          <w:tcPr>
            <w:tcW w:w="1124" w:type="pct"/>
            <w:vMerge w:val="restart"/>
            <w:shd w:val="clear" w:color="auto" w:fill="auto"/>
            <w:vAlign w:val="center"/>
          </w:tcPr>
          <w:p w14:paraId="6B9626C6">
            <w:pPr>
              <w:widowControl/>
              <w:snapToGrid w:val="0"/>
              <w:jc w:val="left"/>
              <w:rPr>
                <w:rFonts w:hint="eastAsia" w:ascii="仿宋_GB2312" w:hAnsi="仿宋_GB2312" w:eastAsia="仿宋_GB2312" w:cs="仿宋_GB2312"/>
              </w:rPr>
            </w:pPr>
            <w:r>
              <w:rPr>
                <w:rFonts w:hint="eastAsia" w:ascii="仿宋_GB2312" w:hAnsi="仿宋_GB2312" w:eastAsia="仿宋_GB2312" w:cs="仿宋_GB2312"/>
                <w:color w:val="000000"/>
                <w:kern w:val="0"/>
                <w:szCs w:val="21"/>
                <w:lang w:bidi="ar"/>
              </w:rPr>
              <w:t>经认定为机场责任的鸟击一般事件，分为危险鸟种事件和非危险鸟种事件两类。</w:t>
            </w:r>
          </w:p>
          <w:p w14:paraId="3B3F0A16">
            <w:pPr>
              <w:widowControl/>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color w:val="000000"/>
                <w:kern w:val="0"/>
                <w:szCs w:val="21"/>
                <w:lang w:bidi="ar"/>
              </w:rPr>
              <w:t>注：对现场无法确认或</w:t>
            </w:r>
            <w:r>
              <w:rPr>
                <w:rFonts w:hint="eastAsia" w:ascii="仿宋_GB2312" w:hAnsi="仿宋_GB2312" w:eastAsia="仿宋_GB2312" w:cs="仿宋_GB2312"/>
                <w:color w:val="000000"/>
                <w:kern w:val="0"/>
                <w:szCs w:val="21"/>
                <w:lang w:val="en-US" w:eastAsia="zh-CN" w:bidi="ar"/>
              </w:rPr>
              <w:t>者</w:t>
            </w:r>
            <w:r>
              <w:rPr>
                <w:rFonts w:hint="eastAsia" w:ascii="仿宋_GB2312" w:hAnsi="仿宋_GB2312" w:eastAsia="仿宋_GB2312" w:cs="仿宋_GB2312"/>
                <w:color w:val="000000"/>
                <w:kern w:val="0"/>
                <w:szCs w:val="21"/>
                <w:lang w:bidi="ar"/>
              </w:rPr>
              <w:t>经第三方鉴定机构鉴定后仍无法明确鸟种的事件，按危险鸟种事件认定。</w:t>
            </w:r>
          </w:p>
        </w:tc>
        <w:tc>
          <w:tcPr>
            <w:tcW w:w="255" w:type="pct"/>
            <w:vMerge w:val="restart"/>
            <w:shd w:val="clear" w:color="auto" w:fill="auto"/>
            <w:vAlign w:val="center"/>
          </w:tcPr>
          <w:p w14:paraId="0F9AD31B">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26F935D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第1起，A、B类机场扣1分，C类机场扣1.5分，D、E类机场扣2分</w:t>
            </w:r>
          </w:p>
        </w:tc>
      </w:tr>
      <w:tr w14:paraId="2FF7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7A434AA7">
            <w:pPr>
              <w:widowControl/>
              <w:snapToGrid w:val="0"/>
              <w:rPr>
                <w:rFonts w:hint="eastAsia" w:ascii="仿宋_GB2312" w:hAnsi="仿宋_GB2312" w:eastAsia="仿宋_GB2312" w:cs="仿宋_GB2312"/>
              </w:rPr>
            </w:pPr>
          </w:p>
        </w:tc>
        <w:tc>
          <w:tcPr>
            <w:tcW w:w="487" w:type="pct"/>
            <w:vMerge w:val="continue"/>
            <w:shd w:val="clear" w:color="auto" w:fill="auto"/>
            <w:vAlign w:val="center"/>
          </w:tcPr>
          <w:p w14:paraId="4191A1EF">
            <w:pPr>
              <w:widowControl/>
              <w:snapToGrid w:val="0"/>
              <w:rPr>
                <w:rFonts w:hint="eastAsia" w:ascii="仿宋_GB2312" w:hAnsi="仿宋_GB2312" w:eastAsia="仿宋_GB2312" w:cs="仿宋_GB2312"/>
              </w:rPr>
            </w:pPr>
          </w:p>
        </w:tc>
        <w:tc>
          <w:tcPr>
            <w:tcW w:w="700" w:type="pct"/>
            <w:vMerge w:val="continue"/>
            <w:shd w:val="clear" w:color="auto" w:fill="auto"/>
            <w:vAlign w:val="center"/>
          </w:tcPr>
          <w:p w14:paraId="7B4BC10C">
            <w:pPr>
              <w:widowControl/>
              <w:snapToGrid w:val="0"/>
              <w:rPr>
                <w:rFonts w:hint="eastAsia" w:ascii="仿宋_GB2312" w:hAnsi="仿宋_GB2312" w:eastAsia="仿宋_GB2312" w:cs="仿宋_GB2312"/>
              </w:rPr>
            </w:pPr>
          </w:p>
        </w:tc>
        <w:tc>
          <w:tcPr>
            <w:tcW w:w="466" w:type="pct"/>
            <w:vMerge w:val="continue"/>
            <w:shd w:val="clear" w:color="auto" w:fill="auto"/>
            <w:vAlign w:val="center"/>
          </w:tcPr>
          <w:p w14:paraId="3BF08D05">
            <w:pPr>
              <w:widowControl/>
              <w:snapToGrid w:val="0"/>
              <w:rPr>
                <w:rFonts w:hint="eastAsia" w:ascii="仿宋_GB2312" w:hAnsi="仿宋_GB2312" w:eastAsia="仿宋_GB2312" w:cs="仿宋_GB2312"/>
              </w:rPr>
            </w:pPr>
          </w:p>
        </w:tc>
        <w:tc>
          <w:tcPr>
            <w:tcW w:w="397" w:type="pct"/>
            <w:vMerge w:val="continue"/>
            <w:shd w:val="clear" w:color="auto" w:fill="auto"/>
            <w:vAlign w:val="center"/>
          </w:tcPr>
          <w:p w14:paraId="5FD18B4C">
            <w:pPr>
              <w:widowControl/>
              <w:snapToGrid w:val="0"/>
              <w:jc w:val="center"/>
              <w:rPr>
                <w:rFonts w:hint="eastAsia" w:ascii="仿宋_GB2312" w:hAnsi="仿宋_GB2312" w:eastAsia="仿宋_GB2312" w:cs="仿宋_GB2312"/>
              </w:rPr>
            </w:pPr>
          </w:p>
        </w:tc>
        <w:tc>
          <w:tcPr>
            <w:tcW w:w="1124" w:type="pct"/>
            <w:vMerge w:val="continue"/>
            <w:shd w:val="clear" w:color="auto" w:fill="auto"/>
            <w:vAlign w:val="center"/>
          </w:tcPr>
          <w:p w14:paraId="078FFF43">
            <w:pPr>
              <w:widowControl/>
              <w:snapToGrid w:val="0"/>
              <w:rPr>
                <w:rFonts w:hint="eastAsia" w:ascii="仿宋_GB2312" w:hAnsi="仿宋_GB2312" w:eastAsia="仿宋_GB2312" w:cs="仿宋_GB2312"/>
              </w:rPr>
            </w:pPr>
          </w:p>
        </w:tc>
        <w:tc>
          <w:tcPr>
            <w:tcW w:w="255" w:type="pct"/>
            <w:vMerge w:val="continue"/>
            <w:shd w:val="clear" w:color="auto" w:fill="auto"/>
            <w:vAlign w:val="center"/>
          </w:tcPr>
          <w:p w14:paraId="238BFD34">
            <w:pPr>
              <w:widowControl/>
              <w:snapToGrid w:val="0"/>
              <w:rPr>
                <w:rFonts w:hint="eastAsia" w:ascii="仿宋_GB2312" w:hAnsi="仿宋_GB2312" w:eastAsia="仿宋_GB2312" w:cs="仿宋_GB2312"/>
              </w:rPr>
            </w:pPr>
          </w:p>
        </w:tc>
        <w:tc>
          <w:tcPr>
            <w:tcW w:w="1253" w:type="pct"/>
            <w:shd w:val="clear" w:color="auto" w:fill="auto"/>
            <w:vAlign w:val="center"/>
          </w:tcPr>
          <w:p w14:paraId="2243F1EC">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第2起，A、B类机场扣2分，C类机场扣3分，D、E类机场扣4分</w:t>
            </w:r>
          </w:p>
        </w:tc>
      </w:tr>
      <w:tr w14:paraId="4623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CE45B12">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7895DC9">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3CB4A790">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437A5FEA">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763E17EB">
            <w:pPr>
              <w:widowControl/>
              <w:snapToGrid w:val="0"/>
              <w:jc w:val="center"/>
              <w:rPr>
                <w:rFonts w:hint="eastAsia" w:ascii="仿宋_GB2312" w:hAnsi="仿宋_GB2312" w:eastAsia="仿宋_GB2312" w:cs="仿宋_GB2312"/>
                <w:kern w:val="0"/>
                <w:szCs w:val="21"/>
              </w:rPr>
            </w:pPr>
          </w:p>
        </w:tc>
        <w:tc>
          <w:tcPr>
            <w:tcW w:w="1124" w:type="pct"/>
            <w:vMerge w:val="continue"/>
            <w:shd w:val="clear" w:color="auto" w:fill="auto"/>
            <w:vAlign w:val="center"/>
          </w:tcPr>
          <w:p w14:paraId="2D192BB2">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20020DA">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C8649F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第3起及以上，A、B类机场每起扣3分，C类机场每起扣4分，D、E类机场每起扣5分</w:t>
            </w:r>
          </w:p>
        </w:tc>
      </w:tr>
      <w:tr w14:paraId="4C0C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8A2EA34">
            <w:pPr>
              <w:widowControl/>
              <w:snapToGrid w:val="0"/>
              <w:rPr>
                <w:rFonts w:hint="eastAsia" w:ascii="仿宋_GB2312" w:hAnsi="仿宋_GB2312" w:eastAsia="仿宋_GB2312" w:cs="仿宋_GB2312"/>
              </w:rPr>
            </w:pPr>
          </w:p>
        </w:tc>
        <w:tc>
          <w:tcPr>
            <w:tcW w:w="487" w:type="pct"/>
            <w:vMerge w:val="continue"/>
            <w:shd w:val="clear" w:color="auto" w:fill="auto"/>
            <w:vAlign w:val="center"/>
          </w:tcPr>
          <w:p w14:paraId="4089A613">
            <w:pPr>
              <w:widowControl/>
              <w:snapToGrid w:val="0"/>
              <w:rPr>
                <w:rFonts w:hint="eastAsia" w:ascii="仿宋_GB2312" w:hAnsi="仿宋_GB2312" w:eastAsia="仿宋_GB2312" w:cs="仿宋_GB2312"/>
              </w:rPr>
            </w:pPr>
          </w:p>
        </w:tc>
        <w:tc>
          <w:tcPr>
            <w:tcW w:w="700" w:type="pct"/>
            <w:vMerge w:val="continue"/>
            <w:shd w:val="clear" w:color="auto" w:fill="auto"/>
            <w:vAlign w:val="center"/>
          </w:tcPr>
          <w:p w14:paraId="0F1603D7">
            <w:pPr>
              <w:widowControl/>
              <w:snapToGrid w:val="0"/>
              <w:rPr>
                <w:rFonts w:hint="eastAsia" w:ascii="仿宋_GB2312" w:hAnsi="仿宋_GB2312" w:eastAsia="仿宋_GB2312" w:cs="仿宋_GB2312"/>
              </w:rPr>
            </w:pPr>
          </w:p>
        </w:tc>
        <w:tc>
          <w:tcPr>
            <w:tcW w:w="466" w:type="pct"/>
            <w:vMerge w:val="continue"/>
            <w:shd w:val="clear" w:color="auto" w:fill="auto"/>
            <w:vAlign w:val="center"/>
          </w:tcPr>
          <w:p w14:paraId="692A0004">
            <w:pPr>
              <w:widowControl/>
              <w:snapToGrid w:val="0"/>
              <w:rPr>
                <w:rFonts w:hint="eastAsia" w:ascii="仿宋_GB2312" w:hAnsi="仿宋_GB2312" w:eastAsia="仿宋_GB2312" w:cs="仿宋_GB2312"/>
              </w:rPr>
            </w:pPr>
          </w:p>
        </w:tc>
        <w:tc>
          <w:tcPr>
            <w:tcW w:w="397" w:type="pct"/>
            <w:vMerge w:val="restart"/>
            <w:shd w:val="clear" w:color="auto" w:fill="auto"/>
            <w:vAlign w:val="center"/>
          </w:tcPr>
          <w:p w14:paraId="437FB69D">
            <w:pPr>
              <w:widowControl/>
              <w:snapToGrid w:val="0"/>
              <w:jc w:val="center"/>
              <w:rPr>
                <w:rFonts w:hint="eastAsia" w:ascii="仿宋_GB2312" w:hAnsi="仿宋_GB2312" w:eastAsia="仿宋_GB2312" w:cs="仿宋_GB2312"/>
              </w:rPr>
            </w:pPr>
            <w:r>
              <w:rPr>
                <w:rFonts w:hint="eastAsia" w:ascii="仿宋_GB2312" w:hAnsi="仿宋_GB2312" w:eastAsia="仿宋_GB2312" w:cs="仿宋_GB2312"/>
              </w:rPr>
              <w:t>非危险鸟种</w:t>
            </w:r>
          </w:p>
        </w:tc>
        <w:tc>
          <w:tcPr>
            <w:tcW w:w="1124" w:type="pct"/>
            <w:vMerge w:val="continue"/>
            <w:shd w:val="clear" w:color="auto" w:fill="auto"/>
            <w:vAlign w:val="center"/>
          </w:tcPr>
          <w:p w14:paraId="06B8E8DB">
            <w:pPr>
              <w:widowControl/>
              <w:snapToGrid w:val="0"/>
              <w:rPr>
                <w:rFonts w:hint="eastAsia" w:ascii="仿宋_GB2312" w:hAnsi="仿宋_GB2312" w:eastAsia="仿宋_GB2312" w:cs="仿宋_GB2312"/>
              </w:rPr>
            </w:pPr>
          </w:p>
        </w:tc>
        <w:tc>
          <w:tcPr>
            <w:tcW w:w="255" w:type="pct"/>
            <w:vMerge w:val="continue"/>
            <w:shd w:val="clear" w:color="auto" w:fill="auto"/>
            <w:vAlign w:val="center"/>
          </w:tcPr>
          <w:p w14:paraId="47741953">
            <w:pPr>
              <w:widowControl/>
              <w:snapToGrid w:val="0"/>
              <w:rPr>
                <w:rFonts w:hint="eastAsia" w:ascii="仿宋_GB2312" w:hAnsi="仿宋_GB2312" w:eastAsia="仿宋_GB2312" w:cs="仿宋_GB2312"/>
              </w:rPr>
            </w:pPr>
          </w:p>
        </w:tc>
        <w:tc>
          <w:tcPr>
            <w:tcW w:w="1253" w:type="pct"/>
            <w:shd w:val="clear" w:color="auto" w:fill="auto"/>
            <w:vAlign w:val="center"/>
          </w:tcPr>
          <w:p w14:paraId="67A3964B">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第1起，A、B类机场扣0.5分，C类机场扣0.7分，D、E类机场扣1分</w:t>
            </w:r>
          </w:p>
        </w:tc>
      </w:tr>
      <w:tr w14:paraId="44DD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030AA46">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826B12E">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643DAA8F">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16454048">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68D895A7">
            <w:pPr>
              <w:widowControl/>
              <w:snapToGrid w:val="0"/>
              <w:jc w:val="center"/>
              <w:rPr>
                <w:rFonts w:hint="eastAsia" w:ascii="仿宋_GB2312" w:hAnsi="仿宋_GB2312" w:eastAsia="仿宋_GB2312" w:cs="仿宋_GB2312"/>
                <w:kern w:val="0"/>
                <w:szCs w:val="21"/>
              </w:rPr>
            </w:pPr>
          </w:p>
        </w:tc>
        <w:tc>
          <w:tcPr>
            <w:tcW w:w="1124" w:type="pct"/>
            <w:vMerge w:val="continue"/>
            <w:shd w:val="clear" w:color="auto" w:fill="auto"/>
            <w:vAlign w:val="center"/>
          </w:tcPr>
          <w:p w14:paraId="3C678255">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052A28DF">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486294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第2起，A、B类机场扣1分，C类机场扣1.5分，D、E类机场扣2分</w:t>
            </w:r>
          </w:p>
        </w:tc>
      </w:tr>
      <w:tr w14:paraId="352D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734EE8D">
            <w:pPr>
              <w:widowControl/>
              <w:snapToGrid w:val="0"/>
              <w:rPr>
                <w:rFonts w:hint="eastAsia" w:ascii="仿宋_GB2312" w:hAnsi="仿宋_GB2312" w:eastAsia="仿宋_GB2312" w:cs="仿宋_GB2312"/>
              </w:rPr>
            </w:pPr>
          </w:p>
        </w:tc>
        <w:tc>
          <w:tcPr>
            <w:tcW w:w="487" w:type="pct"/>
            <w:vMerge w:val="continue"/>
            <w:shd w:val="clear" w:color="auto" w:fill="auto"/>
            <w:vAlign w:val="center"/>
          </w:tcPr>
          <w:p w14:paraId="587E380B">
            <w:pPr>
              <w:widowControl/>
              <w:snapToGrid w:val="0"/>
              <w:rPr>
                <w:rFonts w:hint="eastAsia" w:ascii="仿宋_GB2312" w:hAnsi="仿宋_GB2312" w:eastAsia="仿宋_GB2312" w:cs="仿宋_GB2312"/>
              </w:rPr>
            </w:pPr>
          </w:p>
        </w:tc>
        <w:tc>
          <w:tcPr>
            <w:tcW w:w="700" w:type="pct"/>
            <w:vMerge w:val="continue"/>
            <w:shd w:val="clear" w:color="auto" w:fill="auto"/>
            <w:vAlign w:val="center"/>
          </w:tcPr>
          <w:p w14:paraId="31DA3A4B">
            <w:pPr>
              <w:widowControl/>
              <w:snapToGrid w:val="0"/>
              <w:rPr>
                <w:rFonts w:hint="eastAsia" w:ascii="仿宋_GB2312" w:hAnsi="仿宋_GB2312" w:eastAsia="仿宋_GB2312" w:cs="仿宋_GB2312"/>
              </w:rPr>
            </w:pPr>
          </w:p>
        </w:tc>
        <w:tc>
          <w:tcPr>
            <w:tcW w:w="466" w:type="pct"/>
            <w:vMerge w:val="continue"/>
            <w:shd w:val="clear" w:color="auto" w:fill="auto"/>
            <w:vAlign w:val="center"/>
          </w:tcPr>
          <w:p w14:paraId="7FD323D5">
            <w:pPr>
              <w:widowControl/>
              <w:snapToGrid w:val="0"/>
              <w:rPr>
                <w:rFonts w:hint="eastAsia" w:ascii="仿宋_GB2312" w:hAnsi="仿宋_GB2312" w:eastAsia="仿宋_GB2312" w:cs="仿宋_GB2312"/>
              </w:rPr>
            </w:pPr>
          </w:p>
        </w:tc>
        <w:tc>
          <w:tcPr>
            <w:tcW w:w="397" w:type="pct"/>
            <w:vMerge w:val="continue"/>
            <w:shd w:val="clear" w:color="auto" w:fill="auto"/>
            <w:vAlign w:val="center"/>
          </w:tcPr>
          <w:p w14:paraId="30661EFB">
            <w:pPr>
              <w:widowControl/>
              <w:snapToGrid w:val="0"/>
              <w:jc w:val="center"/>
              <w:rPr>
                <w:rFonts w:hint="eastAsia" w:ascii="仿宋_GB2312" w:hAnsi="仿宋_GB2312" w:eastAsia="仿宋_GB2312" w:cs="仿宋_GB2312"/>
              </w:rPr>
            </w:pPr>
          </w:p>
        </w:tc>
        <w:tc>
          <w:tcPr>
            <w:tcW w:w="1124" w:type="pct"/>
            <w:vMerge w:val="continue"/>
            <w:shd w:val="clear" w:color="auto" w:fill="auto"/>
            <w:vAlign w:val="center"/>
          </w:tcPr>
          <w:p w14:paraId="5055BF6E">
            <w:pPr>
              <w:widowControl/>
              <w:snapToGrid w:val="0"/>
              <w:rPr>
                <w:rFonts w:hint="eastAsia" w:ascii="仿宋_GB2312" w:hAnsi="仿宋_GB2312" w:eastAsia="仿宋_GB2312" w:cs="仿宋_GB2312"/>
              </w:rPr>
            </w:pPr>
          </w:p>
        </w:tc>
        <w:tc>
          <w:tcPr>
            <w:tcW w:w="255" w:type="pct"/>
            <w:vMerge w:val="continue"/>
            <w:shd w:val="clear" w:color="auto" w:fill="auto"/>
            <w:vAlign w:val="center"/>
          </w:tcPr>
          <w:p w14:paraId="7B49AA6D">
            <w:pPr>
              <w:widowControl/>
              <w:snapToGrid w:val="0"/>
              <w:rPr>
                <w:rFonts w:hint="eastAsia" w:ascii="仿宋_GB2312" w:hAnsi="仿宋_GB2312" w:eastAsia="仿宋_GB2312" w:cs="仿宋_GB2312"/>
              </w:rPr>
            </w:pPr>
          </w:p>
        </w:tc>
        <w:tc>
          <w:tcPr>
            <w:tcW w:w="1253" w:type="pct"/>
            <w:shd w:val="clear" w:color="auto" w:fill="auto"/>
            <w:vAlign w:val="center"/>
          </w:tcPr>
          <w:p w14:paraId="1B0FC6E6">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第3起及以上，A、B类机场每起扣1.5分，C类机场每起扣2分，D、E类机场每起扣2.5分</w:t>
            </w:r>
          </w:p>
        </w:tc>
      </w:tr>
      <w:tr w14:paraId="70EC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1BE95B9C">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57A5452C">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50271E34">
            <w:pPr>
              <w:widowControl/>
              <w:snapToGrid w:val="0"/>
              <w:jc w:val="center"/>
              <w:rPr>
                <w:rFonts w:hint="eastAsia" w:ascii="仿宋_GB2312" w:hAnsi="仿宋_GB2312" w:eastAsia="仿宋_GB2312" w:cs="仿宋_GB2312"/>
                <w:kern w:val="0"/>
                <w:szCs w:val="21"/>
              </w:rPr>
            </w:pPr>
          </w:p>
        </w:tc>
        <w:tc>
          <w:tcPr>
            <w:tcW w:w="466" w:type="pct"/>
            <w:vMerge w:val="restart"/>
            <w:shd w:val="clear" w:color="auto" w:fill="auto"/>
            <w:vAlign w:val="center"/>
          </w:tcPr>
          <w:p w14:paraId="5E41187F">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highlight w:val="none"/>
              </w:rPr>
              <w:t>调查认定为机场邻近区域的鸟击一般事件。</w:t>
            </w:r>
          </w:p>
        </w:tc>
        <w:tc>
          <w:tcPr>
            <w:tcW w:w="397" w:type="pct"/>
            <w:vMerge w:val="restart"/>
            <w:shd w:val="clear" w:color="auto" w:fill="auto"/>
            <w:vAlign w:val="center"/>
          </w:tcPr>
          <w:p w14:paraId="23FE04B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危险鸟种</w:t>
            </w:r>
          </w:p>
        </w:tc>
        <w:tc>
          <w:tcPr>
            <w:tcW w:w="1124" w:type="pct"/>
            <w:vMerge w:val="continue"/>
            <w:shd w:val="clear" w:color="auto" w:fill="auto"/>
            <w:vAlign w:val="center"/>
          </w:tcPr>
          <w:p w14:paraId="7D715E89">
            <w:pPr>
              <w:widowControl/>
              <w:snapToGrid w:val="0"/>
              <w:rPr>
                <w:rFonts w:hint="eastAsia" w:ascii="仿宋_GB2312" w:hAnsi="仿宋_GB2312" w:eastAsia="仿宋_GB2312" w:cs="仿宋_GB2312"/>
                <w:kern w:val="0"/>
                <w:szCs w:val="21"/>
              </w:rPr>
            </w:pPr>
          </w:p>
        </w:tc>
        <w:tc>
          <w:tcPr>
            <w:tcW w:w="255" w:type="pct"/>
            <w:vMerge w:val="restart"/>
            <w:shd w:val="clear" w:color="auto" w:fill="auto"/>
            <w:vAlign w:val="center"/>
          </w:tcPr>
          <w:p w14:paraId="510F8FAA">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0.5</w:t>
            </w:r>
          </w:p>
        </w:tc>
        <w:tc>
          <w:tcPr>
            <w:tcW w:w="1253" w:type="pct"/>
            <w:shd w:val="clear" w:color="auto" w:fill="auto"/>
            <w:vAlign w:val="center"/>
          </w:tcPr>
          <w:p w14:paraId="616D7FFC">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第1起，A、B类机场扣0.1分，C类机场扣0.3分，D、E类机场扣0.5分</w:t>
            </w:r>
          </w:p>
        </w:tc>
      </w:tr>
      <w:tr w14:paraId="5079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73459C8">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669E5D04">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41B079FA">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7BBD4C3C">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611E2BB2">
            <w:pPr>
              <w:widowControl/>
              <w:snapToGrid w:val="0"/>
              <w:jc w:val="center"/>
              <w:rPr>
                <w:rFonts w:hint="eastAsia" w:ascii="仿宋_GB2312" w:hAnsi="仿宋_GB2312" w:eastAsia="仿宋_GB2312" w:cs="仿宋_GB2312"/>
                <w:kern w:val="0"/>
                <w:szCs w:val="21"/>
              </w:rPr>
            </w:pPr>
          </w:p>
        </w:tc>
        <w:tc>
          <w:tcPr>
            <w:tcW w:w="1124" w:type="pct"/>
            <w:vMerge w:val="continue"/>
            <w:shd w:val="clear" w:color="auto" w:fill="auto"/>
            <w:vAlign w:val="center"/>
          </w:tcPr>
          <w:p w14:paraId="1104837D">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596185AF">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C317E9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第2起，A、B类机场扣0.2分，C类机场扣0.5分，D、E类机场扣0.7分</w:t>
            </w:r>
          </w:p>
        </w:tc>
      </w:tr>
      <w:tr w14:paraId="5FE3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DF1BA63">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18AF6B23">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12414D4D">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68E8EA1B">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0770FC91">
            <w:pPr>
              <w:widowControl/>
              <w:snapToGrid w:val="0"/>
              <w:jc w:val="center"/>
              <w:rPr>
                <w:rFonts w:hint="eastAsia" w:ascii="仿宋_GB2312" w:hAnsi="仿宋_GB2312" w:eastAsia="仿宋_GB2312" w:cs="仿宋_GB2312"/>
                <w:kern w:val="0"/>
                <w:szCs w:val="21"/>
              </w:rPr>
            </w:pPr>
          </w:p>
        </w:tc>
        <w:tc>
          <w:tcPr>
            <w:tcW w:w="1124" w:type="pct"/>
            <w:vMerge w:val="continue"/>
            <w:shd w:val="clear" w:color="auto" w:fill="auto"/>
            <w:vAlign w:val="center"/>
          </w:tcPr>
          <w:p w14:paraId="33116F6F">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2C57E3EC">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0E85A7B">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第3起及以上，A、B类机场每起扣0.4分，C类机场每起扣0.7分，D、E类机场每起扣1分</w:t>
            </w:r>
          </w:p>
        </w:tc>
      </w:tr>
      <w:tr w14:paraId="356F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90362A1">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1C697F5C">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38E7A266">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651026AE">
            <w:pPr>
              <w:widowControl/>
              <w:snapToGrid w:val="0"/>
              <w:rPr>
                <w:rFonts w:hint="eastAsia" w:ascii="仿宋_GB2312" w:hAnsi="仿宋_GB2312" w:eastAsia="仿宋_GB2312" w:cs="仿宋_GB2312"/>
                <w:strike/>
                <w:kern w:val="0"/>
                <w:szCs w:val="21"/>
              </w:rPr>
            </w:pPr>
          </w:p>
        </w:tc>
        <w:tc>
          <w:tcPr>
            <w:tcW w:w="397" w:type="pct"/>
            <w:vMerge w:val="restart"/>
            <w:shd w:val="clear" w:color="auto" w:fill="auto"/>
            <w:vAlign w:val="center"/>
          </w:tcPr>
          <w:p w14:paraId="4F55E375">
            <w:pPr>
              <w:widowControl/>
              <w:snapToGrid w:val="0"/>
              <w:jc w:val="center"/>
              <w:rPr>
                <w:rFonts w:hint="eastAsia" w:ascii="仿宋_GB2312" w:hAnsi="仿宋_GB2312" w:eastAsia="仿宋_GB2312" w:cs="仿宋_GB2312"/>
              </w:rPr>
            </w:pPr>
            <w:r>
              <w:rPr>
                <w:rFonts w:hint="eastAsia" w:ascii="仿宋_GB2312" w:hAnsi="仿宋_GB2312" w:eastAsia="仿宋_GB2312" w:cs="仿宋_GB2312"/>
              </w:rPr>
              <w:t>非危险鸟种</w:t>
            </w:r>
          </w:p>
        </w:tc>
        <w:tc>
          <w:tcPr>
            <w:tcW w:w="1124" w:type="pct"/>
            <w:vMerge w:val="continue"/>
            <w:shd w:val="clear" w:color="auto" w:fill="auto"/>
            <w:vAlign w:val="center"/>
          </w:tcPr>
          <w:p w14:paraId="3030F826">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BF688A2">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CF80D1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第1起，A、B类机场扣0.05分，C类机场扣0.1分，D、E类机场扣0.2分</w:t>
            </w:r>
          </w:p>
        </w:tc>
      </w:tr>
      <w:tr w14:paraId="367A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96C2DAE">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128842B">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17F60CE1">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5BF7D183">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5AB7643C">
            <w:pPr>
              <w:widowControl/>
              <w:snapToGrid w:val="0"/>
              <w:rPr>
                <w:rFonts w:hint="eastAsia" w:ascii="仿宋_GB2312" w:hAnsi="仿宋_GB2312" w:eastAsia="仿宋_GB2312" w:cs="仿宋_GB2312"/>
                <w:strike/>
                <w:kern w:val="0"/>
                <w:szCs w:val="21"/>
              </w:rPr>
            </w:pPr>
          </w:p>
        </w:tc>
        <w:tc>
          <w:tcPr>
            <w:tcW w:w="1124" w:type="pct"/>
            <w:vMerge w:val="continue"/>
            <w:shd w:val="clear" w:color="auto" w:fill="auto"/>
            <w:vAlign w:val="center"/>
          </w:tcPr>
          <w:p w14:paraId="1068337D">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3AC79A99">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83C0CF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第2起，A、B类机场扣0.1分，C类机场扣0.2分，D、E类机场扣0.3分</w:t>
            </w:r>
          </w:p>
        </w:tc>
      </w:tr>
      <w:tr w14:paraId="7496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311D3751">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65F3DD58">
            <w:pPr>
              <w:widowControl/>
              <w:snapToGrid w:val="0"/>
              <w:jc w:val="center"/>
              <w:rPr>
                <w:rFonts w:hint="eastAsia" w:ascii="仿宋_GB2312" w:hAnsi="仿宋_GB2312" w:eastAsia="仿宋_GB2312" w:cs="仿宋_GB2312"/>
                <w:kern w:val="0"/>
                <w:szCs w:val="21"/>
              </w:rPr>
            </w:pPr>
          </w:p>
        </w:tc>
        <w:tc>
          <w:tcPr>
            <w:tcW w:w="700" w:type="pct"/>
            <w:vMerge w:val="continue"/>
            <w:shd w:val="clear" w:color="auto" w:fill="auto"/>
            <w:vAlign w:val="center"/>
          </w:tcPr>
          <w:p w14:paraId="6DF2B23C">
            <w:pPr>
              <w:widowControl/>
              <w:snapToGrid w:val="0"/>
              <w:jc w:val="center"/>
              <w:rPr>
                <w:rFonts w:hint="eastAsia" w:ascii="仿宋_GB2312" w:hAnsi="仿宋_GB2312" w:eastAsia="仿宋_GB2312" w:cs="仿宋_GB2312"/>
                <w:kern w:val="0"/>
                <w:szCs w:val="21"/>
              </w:rPr>
            </w:pPr>
          </w:p>
        </w:tc>
        <w:tc>
          <w:tcPr>
            <w:tcW w:w="466" w:type="pct"/>
            <w:vMerge w:val="continue"/>
            <w:shd w:val="clear" w:color="auto" w:fill="auto"/>
            <w:vAlign w:val="center"/>
          </w:tcPr>
          <w:p w14:paraId="3FA11C6F">
            <w:pPr>
              <w:widowControl/>
              <w:snapToGrid w:val="0"/>
              <w:rPr>
                <w:rFonts w:hint="eastAsia" w:ascii="仿宋_GB2312" w:hAnsi="仿宋_GB2312" w:eastAsia="仿宋_GB2312" w:cs="仿宋_GB2312"/>
                <w:strike/>
                <w:kern w:val="0"/>
                <w:szCs w:val="21"/>
              </w:rPr>
            </w:pPr>
          </w:p>
        </w:tc>
        <w:tc>
          <w:tcPr>
            <w:tcW w:w="397" w:type="pct"/>
            <w:vMerge w:val="continue"/>
            <w:shd w:val="clear" w:color="auto" w:fill="auto"/>
            <w:vAlign w:val="center"/>
          </w:tcPr>
          <w:p w14:paraId="1B746E0A">
            <w:pPr>
              <w:widowControl/>
              <w:snapToGrid w:val="0"/>
              <w:rPr>
                <w:rFonts w:hint="eastAsia" w:ascii="仿宋_GB2312" w:hAnsi="仿宋_GB2312" w:eastAsia="仿宋_GB2312" w:cs="仿宋_GB2312"/>
                <w:strike/>
                <w:kern w:val="0"/>
                <w:szCs w:val="21"/>
              </w:rPr>
            </w:pPr>
          </w:p>
        </w:tc>
        <w:tc>
          <w:tcPr>
            <w:tcW w:w="1124" w:type="pct"/>
            <w:vMerge w:val="continue"/>
            <w:shd w:val="clear" w:color="auto" w:fill="auto"/>
            <w:vAlign w:val="center"/>
          </w:tcPr>
          <w:p w14:paraId="7D3C169E">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005172E2">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ECA9BA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第3起及以上，A、B类机场每起扣0.2分，C类机场每起扣0.3分，D、E类机场每起扣0.5分</w:t>
            </w:r>
          </w:p>
        </w:tc>
      </w:tr>
      <w:tr w14:paraId="245A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09834DDD">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p>
        </w:tc>
        <w:tc>
          <w:tcPr>
            <w:tcW w:w="487" w:type="pct"/>
            <w:vMerge w:val="restart"/>
            <w:shd w:val="clear" w:color="auto" w:fill="auto"/>
            <w:vAlign w:val="center"/>
          </w:tcPr>
          <w:p w14:paraId="0D4ED86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外来物损伤航空器事件</w:t>
            </w:r>
          </w:p>
          <w:p w14:paraId="10C8BD83">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注：国外站点（含地区站点）上报的外来物损伤航空器（发生地不详）的事件不予扣分。</w:t>
            </w:r>
          </w:p>
        </w:tc>
        <w:tc>
          <w:tcPr>
            <w:tcW w:w="700" w:type="pct"/>
            <w:vMerge w:val="restart"/>
            <w:shd w:val="clear" w:color="auto" w:fill="auto"/>
            <w:vAlign w:val="center"/>
          </w:tcPr>
          <w:p w14:paraId="24D094F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严重征候</w:t>
            </w:r>
          </w:p>
        </w:tc>
        <w:tc>
          <w:tcPr>
            <w:tcW w:w="1988" w:type="pct"/>
            <w:gridSpan w:val="3"/>
            <w:vMerge w:val="restart"/>
            <w:shd w:val="clear" w:color="auto" w:fill="auto"/>
            <w:vAlign w:val="center"/>
          </w:tcPr>
          <w:p w14:paraId="70EFFF1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调查认定的外来物损伤航空器严重征候，无法判断发生地的，起、降机场各计0.5次。</w:t>
            </w:r>
          </w:p>
        </w:tc>
        <w:tc>
          <w:tcPr>
            <w:tcW w:w="255" w:type="pct"/>
            <w:vMerge w:val="restart"/>
            <w:shd w:val="clear" w:color="auto" w:fill="auto"/>
            <w:vAlign w:val="center"/>
          </w:tcPr>
          <w:p w14:paraId="42198E50">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5</w:t>
            </w:r>
          </w:p>
        </w:tc>
        <w:tc>
          <w:tcPr>
            <w:tcW w:w="1253" w:type="pct"/>
            <w:shd w:val="clear" w:color="auto" w:fill="auto"/>
            <w:vAlign w:val="center"/>
          </w:tcPr>
          <w:p w14:paraId="6D3E00DE">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第1起，A、B类机场扣5分，C类机场扣7分，D、E类机场扣10分</w:t>
            </w:r>
          </w:p>
        </w:tc>
      </w:tr>
      <w:tr w14:paraId="7EA7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2B56C382">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AA6784E">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51C6FA1">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66DFFFCD">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30613826">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8DE768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第2起，A、B类机场扣7分，C类机场扣10分，D、E类机场扣15分</w:t>
            </w:r>
          </w:p>
        </w:tc>
      </w:tr>
      <w:tr w14:paraId="5233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11D4C8A">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0F9A1869">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55A61D1B">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1EEBD550">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3235747C">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5C14B3C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第3起及以上，A、B类机场每起扣10分，C类机场每起扣15分，D、E类机场每起扣20分</w:t>
            </w:r>
          </w:p>
        </w:tc>
      </w:tr>
      <w:tr w14:paraId="39A4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14" w:type="pct"/>
            <w:vMerge w:val="continue"/>
            <w:shd w:val="clear" w:color="auto" w:fill="auto"/>
            <w:vAlign w:val="center"/>
          </w:tcPr>
          <w:p w14:paraId="2BC9C102">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2726358A">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4F69569C">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一般征候</w:t>
            </w:r>
          </w:p>
        </w:tc>
        <w:tc>
          <w:tcPr>
            <w:tcW w:w="1988" w:type="pct"/>
            <w:gridSpan w:val="3"/>
            <w:vMerge w:val="restart"/>
            <w:shd w:val="clear" w:color="auto" w:fill="auto"/>
            <w:vAlign w:val="center"/>
          </w:tcPr>
          <w:p w14:paraId="48006A5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调查认定的外来物损伤航空器一般征候，无法判断发生地的，起、降机场各计0.5次。</w:t>
            </w:r>
          </w:p>
        </w:tc>
        <w:tc>
          <w:tcPr>
            <w:tcW w:w="255" w:type="pct"/>
            <w:vMerge w:val="restart"/>
            <w:shd w:val="clear" w:color="auto" w:fill="auto"/>
            <w:vAlign w:val="center"/>
          </w:tcPr>
          <w:p w14:paraId="0733535A">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67A8257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第1起，A、B类机场扣2分，C类机场扣3分，D、E类机场扣4分</w:t>
            </w:r>
          </w:p>
        </w:tc>
      </w:tr>
      <w:tr w14:paraId="0440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D666BC5">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7F93E513">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775D64EE">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313C67A0">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27174606">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41E4BD2">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第2起，A、B类机场扣3分，C类机场扣4分，D、E类机场扣5分</w:t>
            </w:r>
          </w:p>
        </w:tc>
      </w:tr>
      <w:tr w14:paraId="475E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DC66520">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2D9DF2C">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128060E1">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22FCCDA1">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4C365EA1">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28942BC6">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第3起及以上，A、B类机场每起扣5分，C类机场每起扣6分，D、E类机场每起扣7分</w:t>
            </w:r>
          </w:p>
        </w:tc>
      </w:tr>
      <w:tr w14:paraId="30D4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0FEEF6E3">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1262972">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65CD8799">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一般事件</w:t>
            </w:r>
          </w:p>
          <w:p w14:paraId="7C600A2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（不含轮胎扎伤）</w:t>
            </w:r>
          </w:p>
        </w:tc>
        <w:tc>
          <w:tcPr>
            <w:tcW w:w="1988" w:type="pct"/>
            <w:gridSpan w:val="3"/>
            <w:vMerge w:val="restart"/>
            <w:shd w:val="clear" w:color="auto" w:fill="auto"/>
            <w:vAlign w:val="center"/>
          </w:tcPr>
          <w:p w14:paraId="1E5EAD3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调查认定的外来物损伤航空器一般事件（不含轮胎扎伤），无法判断发生地的，起、降机场各计0.5次。</w:t>
            </w:r>
          </w:p>
        </w:tc>
        <w:tc>
          <w:tcPr>
            <w:tcW w:w="255" w:type="pct"/>
            <w:vMerge w:val="restart"/>
            <w:shd w:val="clear" w:color="auto" w:fill="auto"/>
            <w:vAlign w:val="center"/>
          </w:tcPr>
          <w:p w14:paraId="61472770">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33645686">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第1起，A、B类机场扣0.5分，C类机场扣1分，D、E类机场扣1.5分</w:t>
            </w:r>
          </w:p>
        </w:tc>
      </w:tr>
      <w:tr w14:paraId="41F0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307D627">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2DB4088D">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0022C1EF">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3F6EE8D7">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115D474A">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239A09CD">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第2起，A、B类机场扣1分，C类机场扣1.5分，D、E类机场扣2分</w:t>
            </w:r>
          </w:p>
        </w:tc>
      </w:tr>
      <w:tr w14:paraId="2358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509A9AF0">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D81D1C3">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73C7BF15">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2C036FA1">
            <w:pPr>
              <w:widowControl/>
              <w:snapToGrid w:val="0"/>
              <w:rPr>
                <w:rFonts w:hint="eastAsia" w:ascii="仿宋_GB2312" w:hAnsi="仿宋_GB2312" w:eastAsia="仿宋_GB2312" w:cs="仿宋_GB2312"/>
                <w:strike/>
                <w:kern w:val="0"/>
                <w:szCs w:val="21"/>
              </w:rPr>
            </w:pPr>
          </w:p>
        </w:tc>
        <w:tc>
          <w:tcPr>
            <w:tcW w:w="255" w:type="pct"/>
            <w:vMerge w:val="continue"/>
            <w:shd w:val="clear" w:color="auto" w:fill="auto"/>
            <w:vAlign w:val="center"/>
          </w:tcPr>
          <w:p w14:paraId="19593420">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0881623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第3起及以上，A、B类机场每起扣2分，C类机场每起扣3分，D、E类机场每起扣4分</w:t>
            </w:r>
          </w:p>
        </w:tc>
      </w:tr>
      <w:tr w14:paraId="6688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00C457B">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3A972D6A">
            <w:pPr>
              <w:widowControl/>
              <w:snapToGrid w:val="0"/>
              <w:jc w:val="left"/>
              <w:rPr>
                <w:rFonts w:hint="eastAsia" w:ascii="仿宋_GB2312" w:hAnsi="仿宋_GB2312" w:eastAsia="仿宋_GB2312" w:cs="仿宋_GB2312"/>
                <w:kern w:val="0"/>
                <w:szCs w:val="21"/>
              </w:rPr>
            </w:pPr>
          </w:p>
        </w:tc>
        <w:tc>
          <w:tcPr>
            <w:tcW w:w="700" w:type="pct"/>
            <w:vMerge w:val="restart"/>
            <w:shd w:val="clear" w:color="auto" w:fill="auto"/>
            <w:vAlign w:val="center"/>
          </w:tcPr>
          <w:p w14:paraId="654D4A9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一般事件</w:t>
            </w:r>
          </w:p>
          <w:p w14:paraId="44E9FC0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（轮胎扎伤）</w:t>
            </w:r>
          </w:p>
        </w:tc>
        <w:tc>
          <w:tcPr>
            <w:tcW w:w="1988" w:type="pct"/>
            <w:gridSpan w:val="3"/>
            <w:vMerge w:val="restart"/>
            <w:shd w:val="clear" w:color="auto" w:fill="auto"/>
            <w:vAlign w:val="center"/>
          </w:tcPr>
          <w:p w14:paraId="6ED0B24A">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调查认定的外来物导致轮胎扎伤一般事件，无法判断发生地的，起、降机场各计0.5次。</w:t>
            </w:r>
          </w:p>
        </w:tc>
        <w:tc>
          <w:tcPr>
            <w:tcW w:w="255" w:type="pct"/>
            <w:vMerge w:val="restart"/>
            <w:shd w:val="clear" w:color="auto" w:fill="auto"/>
            <w:vAlign w:val="center"/>
          </w:tcPr>
          <w:p w14:paraId="190FA619">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0.5</w:t>
            </w:r>
          </w:p>
        </w:tc>
        <w:tc>
          <w:tcPr>
            <w:tcW w:w="1253" w:type="pct"/>
            <w:shd w:val="clear" w:color="auto" w:fill="auto"/>
            <w:vAlign w:val="center"/>
          </w:tcPr>
          <w:p w14:paraId="58E5BD2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第1起，A、B类机场扣0.05分，C类机场扣0.1分，D、E类机场扣0.15分</w:t>
            </w:r>
          </w:p>
        </w:tc>
      </w:tr>
      <w:tr w14:paraId="4ABC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42F4DD70">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1E575403">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2CD49A6C">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5E40109D">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3048D99F">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18E9752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第2起，A、B类机场扣0.1分，C类机场扣0.2分，D、E类机场扣0.3分</w:t>
            </w:r>
          </w:p>
        </w:tc>
      </w:tr>
      <w:tr w14:paraId="72A9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1FA6A54">
            <w:pPr>
              <w:widowControl/>
              <w:snapToGrid w:val="0"/>
              <w:jc w:val="left"/>
              <w:rPr>
                <w:rFonts w:hint="eastAsia" w:ascii="仿宋_GB2312" w:hAnsi="仿宋_GB2312" w:eastAsia="仿宋_GB2312" w:cs="仿宋_GB2312"/>
                <w:kern w:val="0"/>
                <w:szCs w:val="21"/>
              </w:rPr>
            </w:pPr>
          </w:p>
        </w:tc>
        <w:tc>
          <w:tcPr>
            <w:tcW w:w="487" w:type="pct"/>
            <w:vMerge w:val="continue"/>
            <w:shd w:val="clear" w:color="auto" w:fill="auto"/>
            <w:vAlign w:val="center"/>
          </w:tcPr>
          <w:p w14:paraId="46DFF0EC">
            <w:pPr>
              <w:widowControl/>
              <w:snapToGrid w:val="0"/>
              <w:jc w:val="left"/>
              <w:rPr>
                <w:rFonts w:hint="eastAsia" w:ascii="仿宋_GB2312" w:hAnsi="仿宋_GB2312" w:eastAsia="仿宋_GB2312" w:cs="仿宋_GB2312"/>
                <w:kern w:val="0"/>
                <w:szCs w:val="21"/>
              </w:rPr>
            </w:pPr>
          </w:p>
        </w:tc>
        <w:tc>
          <w:tcPr>
            <w:tcW w:w="700" w:type="pct"/>
            <w:vMerge w:val="continue"/>
            <w:shd w:val="clear" w:color="auto" w:fill="auto"/>
            <w:vAlign w:val="center"/>
          </w:tcPr>
          <w:p w14:paraId="11DDAA7B">
            <w:pPr>
              <w:widowControl/>
              <w:snapToGrid w:val="0"/>
              <w:jc w:val="center"/>
              <w:rPr>
                <w:rFonts w:hint="eastAsia" w:ascii="仿宋_GB2312" w:hAnsi="仿宋_GB2312" w:eastAsia="仿宋_GB2312" w:cs="仿宋_GB2312"/>
                <w:kern w:val="0"/>
                <w:szCs w:val="21"/>
              </w:rPr>
            </w:pPr>
          </w:p>
        </w:tc>
        <w:tc>
          <w:tcPr>
            <w:tcW w:w="1988" w:type="pct"/>
            <w:gridSpan w:val="3"/>
            <w:vMerge w:val="continue"/>
            <w:shd w:val="clear" w:color="auto" w:fill="auto"/>
            <w:vAlign w:val="center"/>
          </w:tcPr>
          <w:p w14:paraId="0A49DBD7">
            <w:pPr>
              <w:widowControl/>
              <w:snapToGrid w:val="0"/>
              <w:rPr>
                <w:rFonts w:hint="eastAsia" w:ascii="仿宋_GB2312" w:hAnsi="仿宋_GB2312" w:eastAsia="仿宋_GB2312" w:cs="仿宋_GB2312"/>
                <w:kern w:val="0"/>
                <w:szCs w:val="21"/>
              </w:rPr>
            </w:pPr>
          </w:p>
        </w:tc>
        <w:tc>
          <w:tcPr>
            <w:tcW w:w="255" w:type="pct"/>
            <w:vMerge w:val="continue"/>
            <w:shd w:val="clear" w:color="auto" w:fill="auto"/>
            <w:vAlign w:val="center"/>
          </w:tcPr>
          <w:p w14:paraId="4E837B7B">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6CD7D14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第3起及以上，A、B类机场每起扣0.5分，C类机场每起扣1分，D、E类机场每起扣1.5分</w:t>
            </w:r>
          </w:p>
        </w:tc>
      </w:tr>
      <w:tr w14:paraId="336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shd w:val="clear" w:color="auto" w:fill="auto"/>
            <w:vAlign w:val="center"/>
          </w:tcPr>
          <w:p w14:paraId="7BA42FCE">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9</w:t>
            </w:r>
          </w:p>
        </w:tc>
        <w:tc>
          <w:tcPr>
            <w:tcW w:w="487" w:type="pct"/>
            <w:shd w:val="clear" w:color="auto" w:fill="auto"/>
            <w:vAlign w:val="center"/>
          </w:tcPr>
          <w:p w14:paraId="64CAF72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助航灯光</w:t>
            </w:r>
            <w:r>
              <w:rPr>
                <w:rFonts w:hint="eastAsia" w:ascii="仿宋_GB2312" w:hAnsi="仿宋_GB2312" w:eastAsia="仿宋_GB2312" w:cs="仿宋_GB2312"/>
                <w:kern w:val="0"/>
                <w:szCs w:val="21"/>
              </w:rPr>
              <w:t>故障事件</w:t>
            </w:r>
          </w:p>
        </w:tc>
        <w:tc>
          <w:tcPr>
            <w:tcW w:w="2688" w:type="pct"/>
            <w:gridSpan w:val="4"/>
            <w:shd w:val="clear" w:color="auto" w:fill="auto"/>
            <w:vAlign w:val="center"/>
          </w:tcPr>
          <w:p w14:paraId="600AF92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助航灯光设施及备份系统全部或者部分失效，导致影响航空器安全运行的事件。</w:t>
            </w:r>
          </w:p>
        </w:tc>
        <w:tc>
          <w:tcPr>
            <w:tcW w:w="255" w:type="pct"/>
            <w:shd w:val="clear" w:color="auto" w:fill="auto"/>
            <w:vAlign w:val="center"/>
          </w:tcPr>
          <w:p w14:paraId="3D40C7FD">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2</w:t>
            </w:r>
          </w:p>
        </w:tc>
        <w:tc>
          <w:tcPr>
            <w:tcW w:w="1253" w:type="pct"/>
            <w:shd w:val="clear" w:color="auto" w:fill="auto"/>
            <w:vAlign w:val="center"/>
          </w:tcPr>
          <w:p w14:paraId="16F538C1">
            <w:pPr>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涉及跑道区域每发生1起扣2分，涉及其他区域每发生1起扣1分</w:t>
            </w:r>
          </w:p>
        </w:tc>
      </w:tr>
      <w:tr w14:paraId="214F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restart"/>
            <w:shd w:val="clear" w:color="auto" w:fill="auto"/>
            <w:vAlign w:val="center"/>
          </w:tcPr>
          <w:p w14:paraId="4E910F95">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0</w:t>
            </w:r>
          </w:p>
        </w:tc>
        <w:tc>
          <w:tcPr>
            <w:tcW w:w="487" w:type="pct"/>
            <w:vMerge w:val="restart"/>
            <w:shd w:val="clear" w:color="auto" w:fill="auto"/>
            <w:vAlign w:val="center"/>
          </w:tcPr>
          <w:p w14:paraId="0F63129A">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动物侵入活动区事件</w:t>
            </w:r>
          </w:p>
        </w:tc>
        <w:tc>
          <w:tcPr>
            <w:tcW w:w="2688" w:type="pct"/>
            <w:gridSpan w:val="4"/>
            <w:shd w:val="clear" w:color="auto" w:fill="auto"/>
            <w:vAlign w:val="center"/>
          </w:tcPr>
          <w:p w14:paraId="1FC8657D">
            <w:pPr>
              <w:widowControl/>
              <w:snapToGrid w:val="0"/>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动物侵入跑道、滑行道及相邻区域，对航班运行造成影响的。</w:t>
            </w:r>
          </w:p>
        </w:tc>
        <w:tc>
          <w:tcPr>
            <w:tcW w:w="255" w:type="pct"/>
            <w:vMerge w:val="restart"/>
            <w:shd w:val="clear" w:color="auto" w:fill="auto"/>
            <w:vAlign w:val="center"/>
          </w:tcPr>
          <w:p w14:paraId="6509AFE2">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363776D5">
            <w:pPr>
              <w:snapToGrid w:val="0"/>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每发生1起扣</w:t>
            </w:r>
            <w:r>
              <w:rPr>
                <w:rFonts w:hint="eastAsia" w:ascii="仿宋_GB2312" w:hAnsi="仿宋_GB2312" w:eastAsia="仿宋_GB2312" w:cs="仿宋_GB2312"/>
                <w:kern w:val="0"/>
                <w:szCs w:val="21"/>
                <w:lang w:val="en-US" w:eastAsia="zh-CN"/>
              </w:rPr>
              <w:t>2分</w:t>
            </w:r>
          </w:p>
        </w:tc>
      </w:tr>
      <w:tr w14:paraId="222D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1D58EB62">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5D8A56C0">
            <w:pPr>
              <w:widowControl/>
              <w:snapToGrid w:val="0"/>
              <w:jc w:val="center"/>
              <w:rPr>
                <w:rFonts w:hint="eastAsia" w:ascii="仿宋_GB2312" w:hAnsi="仿宋_GB2312" w:eastAsia="仿宋_GB2312" w:cs="仿宋_GB2312"/>
                <w:kern w:val="0"/>
                <w:szCs w:val="21"/>
              </w:rPr>
            </w:pPr>
          </w:p>
        </w:tc>
        <w:tc>
          <w:tcPr>
            <w:tcW w:w="2688" w:type="pct"/>
            <w:gridSpan w:val="4"/>
            <w:shd w:val="clear" w:color="auto" w:fill="auto"/>
            <w:vAlign w:val="center"/>
          </w:tcPr>
          <w:p w14:paraId="2CEE0893">
            <w:pPr>
              <w:widowControl/>
              <w:snapToGrid w:val="0"/>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动物侵入机坪区域，对航班运行造成影响的。</w:t>
            </w:r>
          </w:p>
        </w:tc>
        <w:tc>
          <w:tcPr>
            <w:tcW w:w="255" w:type="pct"/>
            <w:vMerge w:val="continue"/>
            <w:shd w:val="clear" w:color="auto" w:fill="auto"/>
            <w:vAlign w:val="center"/>
          </w:tcPr>
          <w:p w14:paraId="3D72C96D">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7AB17986">
            <w:pPr>
              <w:snapToGrid w:val="0"/>
              <w:jc w:val="lef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每发生1起扣</w:t>
            </w:r>
            <w:r>
              <w:rPr>
                <w:rFonts w:hint="eastAsia" w:ascii="仿宋_GB2312" w:hAnsi="仿宋_GB2312" w:eastAsia="仿宋_GB2312" w:cs="仿宋_GB2312"/>
                <w:kern w:val="0"/>
                <w:szCs w:val="21"/>
                <w:lang w:val="en-US" w:eastAsia="zh-CN"/>
              </w:rPr>
              <w:t>1分</w:t>
            </w:r>
          </w:p>
        </w:tc>
      </w:tr>
      <w:tr w14:paraId="2F74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6A437972">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2955135F">
            <w:pPr>
              <w:widowControl/>
              <w:snapToGrid w:val="0"/>
              <w:jc w:val="center"/>
              <w:rPr>
                <w:rFonts w:hint="eastAsia" w:ascii="仿宋_GB2312" w:hAnsi="仿宋_GB2312" w:eastAsia="仿宋_GB2312" w:cs="仿宋_GB2312"/>
                <w:kern w:val="0"/>
                <w:szCs w:val="21"/>
              </w:rPr>
            </w:pPr>
          </w:p>
        </w:tc>
        <w:tc>
          <w:tcPr>
            <w:tcW w:w="2688" w:type="pct"/>
            <w:gridSpan w:val="4"/>
            <w:shd w:val="clear" w:color="auto" w:fill="auto"/>
            <w:vAlign w:val="center"/>
          </w:tcPr>
          <w:p w14:paraId="2F2FC716">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动物侵入跑道、滑行道及相邻区域，未对航班运行造成影响的。</w:t>
            </w:r>
          </w:p>
        </w:tc>
        <w:tc>
          <w:tcPr>
            <w:tcW w:w="255" w:type="pct"/>
            <w:vMerge w:val="continue"/>
            <w:shd w:val="clear" w:color="auto" w:fill="auto"/>
            <w:vAlign w:val="center"/>
          </w:tcPr>
          <w:p w14:paraId="0124A30B">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387C6EDA">
            <w:pPr>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每发生1起扣0.5分</w:t>
            </w:r>
          </w:p>
        </w:tc>
      </w:tr>
      <w:tr w14:paraId="797B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Merge w:val="continue"/>
            <w:shd w:val="clear" w:color="auto" w:fill="auto"/>
            <w:vAlign w:val="center"/>
          </w:tcPr>
          <w:p w14:paraId="2B99A9B0">
            <w:pPr>
              <w:widowControl/>
              <w:snapToGrid w:val="0"/>
              <w:jc w:val="center"/>
              <w:rPr>
                <w:rFonts w:hint="eastAsia" w:ascii="仿宋_GB2312" w:hAnsi="仿宋_GB2312" w:eastAsia="仿宋_GB2312" w:cs="仿宋_GB2312"/>
                <w:kern w:val="0"/>
                <w:szCs w:val="21"/>
              </w:rPr>
            </w:pPr>
          </w:p>
        </w:tc>
        <w:tc>
          <w:tcPr>
            <w:tcW w:w="487" w:type="pct"/>
            <w:vMerge w:val="continue"/>
            <w:shd w:val="clear" w:color="auto" w:fill="auto"/>
            <w:vAlign w:val="center"/>
          </w:tcPr>
          <w:p w14:paraId="410F7FD5">
            <w:pPr>
              <w:widowControl/>
              <w:snapToGrid w:val="0"/>
              <w:jc w:val="center"/>
              <w:rPr>
                <w:rFonts w:hint="eastAsia" w:ascii="仿宋_GB2312" w:hAnsi="仿宋_GB2312" w:eastAsia="仿宋_GB2312" w:cs="仿宋_GB2312"/>
                <w:kern w:val="0"/>
                <w:szCs w:val="21"/>
              </w:rPr>
            </w:pPr>
          </w:p>
        </w:tc>
        <w:tc>
          <w:tcPr>
            <w:tcW w:w="2688" w:type="pct"/>
            <w:gridSpan w:val="4"/>
            <w:shd w:val="clear" w:color="auto" w:fill="auto"/>
            <w:vAlign w:val="center"/>
          </w:tcPr>
          <w:p w14:paraId="0AA7DF6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动物侵入机坪区域，未对航班运行造成影响的。</w:t>
            </w:r>
          </w:p>
        </w:tc>
        <w:tc>
          <w:tcPr>
            <w:tcW w:w="255" w:type="pct"/>
            <w:vMerge w:val="continue"/>
            <w:shd w:val="clear" w:color="auto" w:fill="auto"/>
            <w:vAlign w:val="center"/>
          </w:tcPr>
          <w:p w14:paraId="65314D46">
            <w:pPr>
              <w:widowControl/>
              <w:snapToGrid w:val="0"/>
              <w:jc w:val="center"/>
              <w:rPr>
                <w:rFonts w:hint="eastAsia" w:ascii="仿宋_GB2312" w:hAnsi="仿宋_GB2312" w:eastAsia="仿宋_GB2312" w:cs="仿宋_GB2312"/>
                <w:bCs/>
                <w:kern w:val="0"/>
                <w:szCs w:val="21"/>
              </w:rPr>
            </w:pPr>
          </w:p>
        </w:tc>
        <w:tc>
          <w:tcPr>
            <w:tcW w:w="1253" w:type="pct"/>
            <w:shd w:val="clear" w:color="auto" w:fill="auto"/>
            <w:vAlign w:val="center"/>
          </w:tcPr>
          <w:p w14:paraId="740ACCDB">
            <w:pPr>
              <w:snapToGrid w:val="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每发生1起扣0.</w:t>
            </w:r>
            <w:r>
              <w:rPr>
                <w:rFonts w:hint="eastAsia" w:ascii="仿宋_GB2312" w:hAnsi="仿宋_GB2312" w:eastAsia="仿宋_GB2312" w:cs="仿宋_GB2312"/>
                <w:kern w:val="0"/>
                <w:szCs w:val="21"/>
                <w:lang w:val="en-US" w:eastAsia="zh-CN"/>
              </w:rPr>
              <w:t>2</w:t>
            </w:r>
            <w:r>
              <w:rPr>
                <w:rFonts w:hint="eastAsia" w:ascii="仿宋_GB2312" w:hAnsi="仿宋_GB2312" w:eastAsia="仿宋_GB2312" w:cs="仿宋_GB2312"/>
                <w:kern w:val="0"/>
                <w:szCs w:val="21"/>
              </w:rPr>
              <w:t>分</w:t>
            </w:r>
          </w:p>
        </w:tc>
      </w:tr>
      <w:tr w14:paraId="6118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shd w:val="clear" w:color="auto" w:fill="auto"/>
            <w:vAlign w:val="center"/>
          </w:tcPr>
          <w:p w14:paraId="0525CD14">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1</w:t>
            </w:r>
          </w:p>
        </w:tc>
        <w:tc>
          <w:tcPr>
            <w:tcW w:w="487" w:type="pct"/>
            <w:shd w:val="clear" w:color="auto" w:fill="auto"/>
            <w:vAlign w:val="center"/>
          </w:tcPr>
          <w:p w14:paraId="1639238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其他征候</w:t>
            </w:r>
          </w:p>
        </w:tc>
        <w:tc>
          <w:tcPr>
            <w:tcW w:w="2688" w:type="pct"/>
            <w:gridSpan w:val="4"/>
            <w:shd w:val="clear" w:color="auto" w:fill="auto"/>
            <w:vAlign w:val="center"/>
          </w:tcPr>
          <w:p w14:paraId="7483AB1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本指标体系未单独作为指标列出的因为</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主责造成的征候。</w:t>
            </w:r>
          </w:p>
        </w:tc>
        <w:tc>
          <w:tcPr>
            <w:tcW w:w="255" w:type="pct"/>
            <w:shd w:val="clear" w:color="auto" w:fill="auto"/>
            <w:vAlign w:val="center"/>
          </w:tcPr>
          <w:p w14:paraId="7A471001">
            <w:pPr>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23FFEA9D">
            <w:pPr>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一般征候每发生1起扣3分，严重征候每发生1起扣6分</w:t>
            </w:r>
          </w:p>
        </w:tc>
      </w:tr>
      <w:tr w14:paraId="0452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shd w:val="clear" w:color="auto" w:fill="auto"/>
            <w:vAlign w:val="center"/>
          </w:tcPr>
          <w:p w14:paraId="26A70156">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2</w:t>
            </w:r>
          </w:p>
        </w:tc>
        <w:tc>
          <w:tcPr>
            <w:tcW w:w="487" w:type="pct"/>
            <w:shd w:val="clear" w:color="auto" w:fill="auto"/>
            <w:vAlign w:val="center"/>
          </w:tcPr>
          <w:p w14:paraId="6FEB1A61">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其他一般事件</w:t>
            </w:r>
          </w:p>
        </w:tc>
        <w:tc>
          <w:tcPr>
            <w:tcW w:w="2688" w:type="pct"/>
            <w:gridSpan w:val="4"/>
            <w:shd w:val="clear" w:color="auto" w:fill="auto"/>
            <w:vAlign w:val="center"/>
          </w:tcPr>
          <w:p w14:paraId="5F723013">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本指标体系未单独作为指标列出的因为</w:t>
            </w:r>
            <w:r>
              <w:rPr>
                <w:rFonts w:hint="eastAsia" w:ascii="仿宋_GB2312" w:hAnsi="仿宋_GB2312" w:eastAsia="仿宋_GB2312" w:cs="仿宋_GB2312"/>
                <w:kern w:val="0"/>
                <w:szCs w:val="21"/>
                <w:lang w:eastAsia="zh-CN"/>
              </w:rPr>
              <w:t>机场运营人</w:t>
            </w:r>
            <w:r>
              <w:rPr>
                <w:rFonts w:hint="eastAsia" w:ascii="仿宋_GB2312" w:hAnsi="仿宋_GB2312" w:eastAsia="仿宋_GB2312" w:cs="仿宋_GB2312"/>
                <w:kern w:val="0"/>
                <w:szCs w:val="21"/>
              </w:rPr>
              <w:t>主责造成的一般事件。</w:t>
            </w:r>
          </w:p>
        </w:tc>
        <w:tc>
          <w:tcPr>
            <w:tcW w:w="255" w:type="pct"/>
            <w:shd w:val="clear" w:color="auto" w:fill="auto"/>
            <w:vAlign w:val="center"/>
          </w:tcPr>
          <w:p w14:paraId="3AAB2690">
            <w:pPr>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1253" w:type="pct"/>
            <w:shd w:val="clear" w:color="auto" w:fill="auto"/>
            <w:vAlign w:val="center"/>
          </w:tcPr>
          <w:p w14:paraId="3F7D8F1D">
            <w:pPr>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每发生1起扣0.5分</w:t>
            </w:r>
          </w:p>
        </w:tc>
      </w:tr>
      <w:tr w14:paraId="777B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shd w:val="clear" w:color="auto" w:fill="auto"/>
            <w:vAlign w:val="center"/>
          </w:tcPr>
          <w:p w14:paraId="263B60C9">
            <w:pPr>
              <w:widowControl/>
              <w:snapToGrid w:val="0"/>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3</w:t>
            </w:r>
          </w:p>
        </w:tc>
        <w:tc>
          <w:tcPr>
            <w:tcW w:w="487" w:type="pct"/>
            <w:shd w:val="clear" w:color="auto" w:fill="auto"/>
            <w:vAlign w:val="center"/>
          </w:tcPr>
          <w:p w14:paraId="4EFCBEA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机场无正当理由</w:t>
            </w:r>
          </w:p>
          <w:p w14:paraId="512A2EDB">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不接收备降情况</w:t>
            </w:r>
          </w:p>
        </w:tc>
        <w:tc>
          <w:tcPr>
            <w:tcW w:w="2688" w:type="pct"/>
            <w:gridSpan w:val="4"/>
            <w:shd w:val="clear" w:color="auto" w:fill="auto"/>
            <w:vAlign w:val="center"/>
          </w:tcPr>
          <w:p w14:paraId="5A5477E0">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机场没有提出正当的不接收备降理由而拒绝接收备降的情形。此情形由</w:t>
            </w:r>
            <w:r>
              <w:rPr>
                <w:rFonts w:hint="eastAsia" w:ascii="仿宋_GB2312" w:hAnsi="仿宋_GB2312" w:eastAsia="仿宋_GB2312" w:cs="仿宋_GB2312"/>
                <w:kern w:val="0"/>
                <w:szCs w:val="21"/>
                <w:lang w:eastAsia="zh-CN"/>
              </w:rPr>
              <w:t>民航行政机关</w:t>
            </w:r>
            <w:r>
              <w:rPr>
                <w:rFonts w:hint="eastAsia" w:ascii="仿宋_GB2312" w:hAnsi="仿宋_GB2312" w:eastAsia="仿宋_GB2312" w:cs="仿宋_GB2312"/>
                <w:kern w:val="0"/>
                <w:szCs w:val="21"/>
              </w:rPr>
              <w:t>认定后进行计分。</w:t>
            </w:r>
          </w:p>
        </w:tc>
        <w:tc>
          <w:tcPr>
            <w:tcW w:w="255" w:type="pct"/>
            <w:shd w:val="clear" w:color="auto" w:fill="auto"/>
            <w:vAlign w:val="center"/>
          </w:tcPr>
          <w:p w14:paraId="18D1C41F">
            <w:pPr>
              <w:widowControl/>
              <w:snapToGrid w:val="0"/>
              <w:jc w:val="center"/>
              <w:rPr>
                <w:rFonts w:hint="eastAsia" w:ascii="仿宋_GB2312" w:hAnsi="仿宋_GB2312" w:eastAsia="仿宋_GB2312" w:cs="仿宋_GB2312"/>
                <w:bCs/>
                <w:strike/>
                <w:kern w:val="0"/>
                <w:szCs w:val="21"/>
              </w:rPr>
            </w:pPr>
            <w:r>
              <w:rPr>
                <w:rFonts w:hint="eastAsia" w:ascii="仿宋_GB2312" w:hAnsi="仿宋_GB2312" w:eastAsia="仿宋_GB2312" w:cs="仿宋_GB2312"/>
                <w:bCs/>
                <w:kern w:val="0"/>
                <w:szCs w:val="21"/>
              </w:rPr>
              <w:t>3</w:t>
            </w:r>
          </w:p>
        </w:tc>
        <w:tc>
          <w:tcPr>
            <w:tcW w:w="1253" w:type="pct"/>
            <w:shd w:val="clear" w:color="auto" w:fill="auto"/>
            <w:vAlign w:val="center"/>
          </w:tcPr>
          <w:p w14:paraId="193D8BF1">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每发生1起扣10分</w:t>
            </w:r>
          </w:p>
        </w:tc>
      </w:tr>
    </w:tbl>
    <w:p w14:paraId="6F5DEE5A">
      <w:pPr>
        <w:widowControl/>
        <w:jc w:val="left"/>
        <w:rPr>
          <w:rFonts w:hint="eastAsia" w:ascii="仿宋_GB2312" w:hAnsi="仿宋_GB2312" w:eastAsia="仿宋_GB2312" w:cs="仿宋_GB2312"/>
          <w:bCs/>
          <w:kern w:val="0"/>
          <w:szCs w:val="21"/>
        </w:rPr>
      </w:pPr>
      <w:r>
        <w:rPr>
          <w:rFonts w:hint="eastAsia" w:ascii="仿宋_GB2312" w:hAnsi="仿宋_GB2312" w:eastAsia="仿宋_GB2312" w:cs="仿宋_GB2312"/>
          <w:b/>
          <w:kern w:val="0"/>
          <w:szCs w:val="21"/>
        </w:rPr>
        <w:t>注：</w:t>
      </w:r>
      <w:r>
        <w:rPr>
          <w:rFonts w:hint="eastAsia" w:ascii="仿宋_GB2312" w:hAnsi="仿宋_GB2312" w:eastAsia="仿宋_GB2312" w:cs="仿宋_GB2312"/>
          <w:bCs/>
          <w:kern w:val="0"/>
          <w:szCs w:val="21"/>
        </w:rPr>
        <w:t>每类指标的最后得分均可以计负分。</w:t>
      </w:r>
    </w:p>
    <w:p w14:paraId="267A7EB1">
      <w:pPr>
        <w:widowControl/>
        <w:jc w:val="left"/>
        <w:rPr>
          <w:rFonts w:hint="eastAsia" w:ascii="仿宋_GB2312" w:hAnsi="仿宋_GB2312" w:eastAsia="仿宋_GB2312" w:cs="仿宋_GB2312"/>
          <w:bCs/>
          <w:kern w:val="0"/>
          <w:szCs w:val="21"/>
        </w:rPr>
        <w:sectPr>
          <w:pgSz w:w="11906" w:h="16838"/>
          <w:pgMar w:top="2098" w:right="1474" w:bottom="1984" w:left="1587" w:header="851" w:footer="992" w:gutter="0"/>
          <w:cols w:space="425" w:num="1"/>
          <w:docGrid w:type="lines" w:linePitch="312" w:charSpace="0"/>
        </w:sectPr>
      </w:pPr>
    </w:p>
    <w:tbl>
      <w:tblPr>
        <w:tblStyle w:val="24"/>
        <w:tblW w:w="9127" w:type="dxa"/>
        <w:jc w:val="center"/>
        <w:tblLayout w:type="autofit"/>
        <w:tblCellMar>
          <w:top w:w="0" w:type="dxa"/>
          <w:left w:w="108" w:type="dxa"/>
          <w:bottom w:w="0" w:type="dxa"/>
          <w:right w:w="108" w:type="dxa"/>
        </w:tblCellMar>
      </w:tblPr>
      <w:tblGrid>
        <w:gridCol w:w="498"/>
        <w:gridCol w:w="1974"/>
        <w:gridCol w:w="459"/>
        <w:gridCol w:w="6196"/>
      </w:tblGrid>
      <w:tr w14:paraId="19E4B727">
        <w:tblPrEx>
          <w:tblCellMar>
            <w:top w:w="0" w:type="dxa"/>
            <w:left w:w="108" w:type="dxa"/>
            <w:bottom w:w="0" w:type="dxa"/>
            <w:right w:w="108" w:type="dxa"/>
          </w:tblCellMar>
        </w:tblPrEx>
        <w:trPr>
          <w:trHeight w:val="567" w:hRule="atLeast"/>
          <w:jc w:val="center"/>
        </w:trPr>
        <w:tc>
          <w:tcPr>
            <w:tcW w:w="9127" w:type="dxa"/>
            <w:gridSpan w:val="4"/>
            <w:tcBorders>
              <w:top w:val="single" w:color="auto" w:sz="4" w:space="0"/>
              <w:left w:val="single" w:color="auto" w:sz="4" w:space="0"/>
              <w:bottom w:val="single" w:color="auto" w:sz="4" w:space="0"/>
              <w:right w:val="single" w:color="auto" w:sz="4" w:space="0"/>
            </w:tcBorders>
            <w:vAlign w:val="center"/>
          </w:tcPr>
          <w:p w14:paraId="24B7EC89">
            <w:pPr>
              <w:widowControl/>
              <w:snapToGrid w:val="0"/>
              <w:jc w:val="center"/>
              <w:rPr>
                <w:rFonts w:ascii="Times New Roman" w:hAnsi="Times New Roman" w:eastAsia="仿宋" w:cs="宋体"/>
                <w:kern w:val="0"/>
                <w:szCs w:val="21"/>
              </w:rPr>
            </w:pPr>
            <w:r>
              <w:rPr>
                <w:rFonts w:hint="eastAsia" w:ascii="Times New Roman" w:hAnsi="Times New Roman" w:eastAsia="仿宋_GB2312" w:cs="宋体"/>
                <w:b/>
                <w:bCs/>
                <w:kern w:val="0"/>
                <w:szCs w:val="21"/>
              </w:rPr>
              <w:t>第三类：综合管理类指标（</w:t>
            </w:r>
            <w:r>
              <w:rPr>
                <w:rFonts w:ascii="Times New Roman" w:hAnsi="Times New Roman" w:eastAsia="仿宋_GB2312" w:cs="宋体"/>
                <w:b/>
                <w:bCs/>
                <w:kern w:val="0"/>
                <w:szCs w:val="21"/>
              </w:rPr>
              <w:t>8</w:t>
            </w:r>
            <w:r>
              <w:rPr>
                <w:rFonts w:hint="eastAsia" w:ascii="Times New Roman" w:hAnsi="Times New Roman" w:eastAsia="仿宋_GB2312" w:cs="宋体"/>
                <w:b/>
                <w:bCs/>
                <w:kern w:val="0"/>
                <w:szCs w:val="21"/>
              </w:rPr>
              <w:t>项，权重</w:t>
            </w:r>
            <w:r>
              <w:rPr>
                <w:rFonts w:ascii="Times New Roman" w:hAnsi="Times New Roman" w:eastAsia="仿宋_GB2312" w:cs="宋体"/>
                <w:b/>
                <w:bCs/>
                <w:kern w:val="0"/>
                <w:szCs w:val="21"/>
              </w:rPr>
              <w:t>20</w:t>
            </w:r>
            <w:r>
              <w:rPr>
                <w:rFonts w:hint="eastAsia" w:ascii="Times New Roman" w:hAnsi="Times New Roman" w:eastAsia="仿宋_GB2312" w:cs="宋体"/>
                <w:b/>
                <w:bCs/>
                <w:kern w:val="0"/>
                <w:szCs w:val="21"/>
              </w:rPr>
              <w:t>分，分项直接扣分）</w:t>
            </w:r>
          </w:p>
        </w:tc>
      </w:tr>
      <w:tr w14:paraId="76B9D4EF">
        <w:tblPrEx>
          <w:tblCellMar>
            <w:top w:w="0" w:type="dxa"/>
            <w:left w:w="108" w:type="dxa"/>
            <w:bottom w:w="0" w:type="dxa"/>
            <w:right w:w="108" w:type="dxa"/>
          </w:tblCellMar>
        </w:tblPrEx>
        <w:trPr>
          <w:trHeight w:val="556" w:hRule="atLeast"/>
          <w:jc w:val="center"/>
        </w:trPr>
        <w:tc>
          <w:tcPr>
            <w:tcW w:w="498" w:type="dxa"/>
            <w:tcBorders>
              <w:top w:val="single" w:color="auto" w:sz="4" w:space="0"/>
              <w:left w:val="single" w:color="auto" w:sz="4" w:space="0"/>
              <w:bottom w:val="single" w:color="auto" w:sz="4" w:space="0"/>
              <w:right w:val="single" w:color="auto" w:sz="4" w:space="0"/>
            </w:tcBorders>
            <w:vAlign w:val="center"/>
          </w:tcPr>
          <w:p w14:paraId="765309DD">
            <w:pPr>
              <w:widowControl/>
              <w:snapToGrid w:val="0"/>
              <w:jc w:val="center"/>
              <w:rPr>
                <w:rFonts w:ascii="Times New Roman" w:hAnsi="Times New Roman" w:eastAsia="仿宋" w:cs="宋体"/>
                <w:b/>
                <w:kern w:val="0"/>
                <w:szCs w:val="21"/>
              </w:rPr>
            </w:pPr>
            <w:r>
              <w:rPr>
                <w:rFonts w:hint="eastAsia" w:ascii="Times New Roman" w:hAnsi="Times New Roman" w:eastAsia="仿宋_GB2312" w:cs="宋体"/>
                <w:b/>
                <w:kern w:val="0"/>
                <w:szCs w:val="21"/>
              </w:rPr>
              <w:t>序号</w:t>
            </w:r>
          </w:p>
        </w:tc>
        <w:tc>
          <w:tcPr>
            <w:tcW w:w="1974" w:type="dxa"/>
            <w:tcBorders>
              <w:top w:val="single" w:color="auto" w:sz="4" w:space="0"/>
              <w:left w:val="nil"/>
              <w:bottom w:val="single" w:color="auto" w:sz="4" w:space="0"/>
              <w:right w:val="single" w:color="auto" w:sz="4" w:space="0"/>
            </w:tcBorders>
            <w:vAlign w:val="center"/>
          </w:tcPr>
          <w:p w14:paraId="6AAE540D">
            <w:pPr>
              <w:widowControl/>
              <w:snapToGrid w:val="0"/>
              <w:jc w:val="center"/>
              <w:rPr>
                <w:rFonts w:ascii="Times New Roman" w:hAnsi="Times New Roman" w:eastAsia="仿宋" w:cs="宋体"/>
                <w:b/>
                <w:kern w:val="0"/>
                <w:szCs w:val="21"/>
              </w:rPr>
            </w:pPr>
            <w:r>
              <w:rPr>
                <w:rFonts w:hint="eastAsia" w:ascii="Times New Roman" w:hAnsi="Times New Roman" w:eastAsia="仿宋_GB2312" w:cs="宋体"/>
                <w:b/>
                <w:kern w:val="0"/>
                <w:szCs w:val="21"/>
              </w:rPr>
              <w:t>综合管理类指标</w:t>
            </w:r>
          </w:p>
        </w:tc>
        <w:tc>
          <w:tcPr>
            <w:tcW w:w="459" w:type="dxa"/>
            <w:tcBorders>
              <w:top w:val="single" w:color="auto" w:sz="4" w:space="0"/>
              <w:left w:val="nil"/>
              <w:bottom w:val="single" w:color="auto" w:sz="4" w:space="0"/>
              <w:right w:val="single" w:color="auto" w:sz="4" w:space="0"/>
            </w:tcBorders>
            <w:vAlign w:val="center"/>
          </w:tcPr>
          <w:p w14:paraId="3CDB5ECC">
            <w:pPr>
              <w:widowControl/>
              <w:snapToGrid w:val="0"/>
              <w:jc w:val="center"/>
              <w:rPr>
                <w:rFonts w:ascii="Times New Roman" w:hAnsi="Times New Roman" w:eastAsia="仿宋" w:cs="宋体"/>
                <w:b/>
                <w:kern w:val="0"/>
                <w:szCs w:val="21"/>
              </w:rPr>
            </w:pPr>
            <w:r>
              <w:rPr>
                <w:rFonts w:hint="eastAsia" w:ascii="Times New Roman" w:hAnsi="Times New Roman" w:eastAsia="仿宋_GB2312" w:cs="宋体"/>
                <w:b/>
                <w:kern w:val="0"/>
                <w:szCs w:val="21"/>
              </w:rPr>
              <w:t>权重</w:t>
            </w:r>
          </w:p>
        </w:tc>
        <w:tc>
          <w:tcPr>
            <w:tcW w:w="6196" w:type="dxa"/>
            <w:tcBorders>
              <w:top w:val="single" w:color="auto" w:sz="4" w:space="0"/>
              <w:left w:val="nil"/>
              <w:bottom w:val="single" w:color="auto" w:sz="4" w:space="0"/>
              <w:right w:val="single" w:color="auto" w:sz="4" w:space="0"/>
            </w:tcBorders>
            <w:vAlign w:val="center"/>
          </w:tcPr>
          <w:p w14:paraId="46D09D6A">
            <w:pPr>
              <w:widowControl/>
              <w:snapToGrid w:val="0"/>
              <w:jc w:val="center"/>
              <w:rPr>
                <w:rFonts w:ascii="Times New Roman" w:hAnsi="Times New Roman" w:eastAsia="仿宋" w:cs="宋体"/>
                <w:b/>
                <w:kern w:val="0"/>
                <w:szCs w:val="21"/>
              </w:rPr>
            </w:pPr>
            <w:r>
              <w:rPr>
                <w:rFonts w:hint="eastAsia" w:ascii="Times New Roman" w:hAnsi="Times New Roman" w:eastAsia="仿宋_GB2312" w:cs="宋体"/>
                <w:b/>
                <w:kern w:val="0"/>
                <w:szCs w:val="21"/>
              </w:rPr>
              <w:t>计分方法</w:t>
            </w:r>
          </w:p>
        </w:tc>
      </w:tr>
      <w:tr w14:paraId="3CCEAC82">
        <w:tblPrEx>
          <w:tblCellMar>
            <w:top w:w="0" w:type="dxa"/>
            <w:left w:w="108" w:type="dxa"/>
            <w:bottom w:w="0" w:type="dxa"/>
            <w:right w:w="108" w:type="dxa"/>
          </w:tblCellMar>
        </w:tblPrEx>
        <w:trPr>
          <w:trHeight w:val="1005"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14:paraId="0129E29F">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974" w:type="dxa"/>
            <w:tcBorders>
              <w:top w:val="nil"/>
              <w:left w:val="nil"/>
              <w:bottom w:val="single" w:color="auto" w:sz="4" w:space="0"/>
              <w:right w:val="single" w:color="auto" w:sz="4" w:space="0"/>
            </w:tcBorders>
            <w:shd w:val="clear" w:color="auto" w:fill="auto"/>
            <w:vAlign w:val="center"/>
          </w:tcPr>
          <w:p w14:paraId="3EE7AAE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机场安全管理体系</w:t>
            </w:r>
          </w:p>
          <w:p w14:paraId="58944226">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建设情况</w:t>
            </w:r>
          </w:p>
        </w:tc>
        <w:tc>
          <w:tcPr>
            <w:tcW w:w="459" w:type="dxa"/>
            <w:tcBorders>
              <w:top w:val="nil"/>
              <w:left w:val="nil"/>
              <w:bottom w:val="single" w:color="auto" w:sz="4" w:space="0"/>
              <w:right w:val="single" w:color="auto" w:sz="4" w:space="0"/>
            </w:tcBorders>
            <w:shd w:val="clear" w:color="auto" w:fill="auto"/>
            <w:vAlign w:val="center"/>
          </w:tcPr>
          <w:p w14:paraId="4ABA9621">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4</w:t>
            </w:r>
          </w:p>
        </w:tc>
        <w:tc>
          <w:tcPr>
            <w:tcW w:w="6196" w:type="dxa"/>
            <w:tcBorders>
              <w:top w:val="single" w:color="auto" w:sz="4" w:space="0"/>
              <w:left w:val="nil"/>
              <w:bottom w:val="single" w:color="auto" w:sz="4" w:space="0"/>
              <w:right w:val="single" w:color="auto" w:sz="4" w:space="0"/>
            </w:tcBorders>
            <w:shd w:val="clear" w:color="auto" w:fill="auto"/>
            <w:vAlign w:val="center"/>
          </w:tcPr>
          <w:p w14:paraId="731E4029">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根据机场SMS实施情况、日常监察、内外部审核和改进以及评估周期内机场不安全事件等情况综合评估，分档打分：情况为“很好”的，打分区间为</w:t>
            </w:r>
            <w:r>
              <w:rPr>
                <w:rFonts w:hint="eastAsia" w:ascii="仿宋_GB2312" w:hAnsi="仿宋_GB2312" w:eastAsia="仿宋_GB2312" w:cs="仿宋_GB2312"/>
                <w:b w:val="0"/>
                <w:bCs w:val="0"/>
                <w:kern w:val="0"/>
                <w:szCs w:val="21"/>
              </w:rPr>
              <w:t>[3,3.5）；情况为“</w:t>
            </w:r>
            <w:r>
              <w:rPr>
                <w:rFonts w:hint="eastAsia" w:ascii="仿宋_GB2312" w:hAnsi="仿宋_GB2312" w:eastAsia="仿宋_GB2312" w:cs="仿宋_GB2312"/>
                <w:kern w:val="0"/>
                <w:szCs w:val="21"/>
              </w:rPr>
              <w:t>好”的，打分区间为[2.5,3）；情况为“中”的，打分区间为[1.5,2.5）；情况为“较差”的，打分区间为[0.5,1.5）；情况为“差”的，打分区间为[0,0.5）分。（打分可以为非整数，保留一位小数）</w:t>
            </w:r>
          </w:p>
        </w:tc>
      </w:tr>
      <w:tr w14:paraId="1492D5E9">
        <w:tblPrEx>
          <w:tblCellMar>
            <w:top w:w="0" w:type="dxa"/>
            <w:left w:w="108" w:type="dxa"/>
            <w:bottom w:w="0" w:type="dxa"/>
            <w:right w:w="108" w:type="dxa"/>
          </w:tblCellMar>
        </w:tblPrEx>
        <w:trPr>
          <w:trHeight w:val="1005" w:hRule="atLeast"/>
          <w:jc w:val="center"/>
        </w:trPr>
        <w:tc>
          <w:tcPr>
            <w:tcW w:w="498" w:type="dxa"/>
            <w:vMerge w:val="restart"/>
            <w:tcBorders>
              <w:top w:val="nil"/>
              <w:left w:val="single" w:color="auto" w:sz="4" w:space="0"/>
              <w:right w:val="single" w:color="auto" w:sz="4" w:space="0"/>
            </w:tcBorders>
            <w:shd w:val="clear" w:color="auto" w:fill="auto"/>
            <w:vAlign w:val="center"/>
          </w:tcPr>
          <w:p w14:paraId="0BA4AEA7">
            <w:pPr>
              <w:widowControl/>
              <w:snapToGrid w:val="0"/>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2</w:t>
            </w:r>
          </w:p>
        </w:tc>
        <w:tc>
          <w:tcPr>
            <w:tcW w:w="1974" w:type="dxa"/>
            <w:vMerge w:val="restart"/>
            <w:tcBorders>
              <w:top w:val="nil"/>
              <w:left w:val="nil"/>
              <w:right w:val="single" w:color="auto" w:sz="4" w:space="0"/>
            </w:tcBorders>
            <w:shd w:val="clear" w:color="auto" w:fill="auto"/>
            <w:vAlign w:val="center"/>
          </w:tcPr>
          <w:p w14:paraId="7ABB01B5">
            <w:pPr>
              <w:widowControl/>
              <w:snapToGrid w:val="0"/>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rPr>
              <w:t>机场高级管理人员配备</w:t>
            </w:r>
            <w:r>
              <w:rPr>
                <w:rFonts w:hint="eastAsia" w:ascii="仿宋_GB2312" w:hAnsi="仿宋_GB2312" w:eastAsia="仿宋_GB2312" w:cs="仿宋_GB2312"/>
                <w:kern w:val="0"/>
                <w:szCs w:val="21"/>
                <w:highlight w:val="none"/>
                <w:lang w:val="en-US" w:eastAsia="zh-CN"/>
              </w:rPr>
              <w:t>及任职资格</w:t>
            </w:r>
          </w:p>
          <w:p w14:paraId="47CCE4E8">
            <w:pPr>
              <w:widowControl/>
              <w:snapToGrid w:val="0"/>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符合</w:t>
            </w:r>
            <w:r>
              <w:rPr>
                <w:rFonts w:hint="eastAsia" w:ascii="仿宋_GB2312" w:hAnsi="仿宋_GB2312" w:eastAsia="仿宋_GB2312" w:cs="仿宋_GB2312"/>
                <w:kern w:val="0"/>
                <w:szCs w:val="21"/>
                <w:highlight w:val="none"/>
              </w:rPr>
              <w:t>情况</w:t>
            </w:r>
          </w:p>
        </w:tc>
        <w:tc>
          <w:tcPr>
            <w:tcW w:w="459" w:type="dxa"/>
            <w:vMerge w:val="restart"/>
            <w:tcBorders>
              <w:top w:val="nil"/>
              <w:left w:val="nil"/>
              <w:right w:val="single" w:color="auto" w:sz="4" w:space="0"/>
            </w:tcBorders>
            <w:shd w:val="clear" w:color="auto" w:fill="auto"/>
            <w:vAlign w:val="center"/>
          </w:tcPr>
          <w:p w14:paraId="1A766084">
            <w:pPr>
              <w:widowControl/>
              <w:snapToGrid w:val="0"/>
              <w:jc w:val="center"/>
              <w:rPr>
                <w:rFonts w:hint="eastAsia" w:ascii="仿宋_GB2312" w:hAnsi="仿宋_GB2312" w:eastAsia="仿宋_GB2312" w:cs="仿宋_GB2312"/>
                <w:bCs/>
                <w:kern w:val="0"/>
                <w:szCs w:val="21"/>
                <w:highlight w:val="none"/>
              </w:rPr>
            </w:pPr>
            <w:r>
              <w:rPr>
                <w:rFonts w:hint="eastAsia" w:ascii="仿宋_GB2312" w:hAnsi="仿宋_GB2312" w:eastAsia="仿宋_GB2312" w:cs="仿宋_GB2312"/>
                <w:bCs/>
                <w:kern w:val="0"/>
                <w:szCs w:val="21"/>
                <w:highlight w:val="none"/>
                <w:lang w:eastAsia="zh-CN"/>
              </w:rPr>
              <w:t>4</w:t>
            </w:r>
          </w:p>
        </w:tc>
        <w:tc>
          <w:tcPr>
            <w:tcW w:w="6196" w:type="dxa"/>
            <w:tcBorders>
              <w:top w:val="single" w:color="auto" w:sz="4" w:space="0"/>
              <w:left w:val="nil"/>
              <w:bottom w:val="single" w:color="auto" w:sz="4" w:space="0"/>
              <w:right w:val="single" w:color="auto" w:sz="4" w:space="0"/>
            </w:tcBorders>
            <w:shd w:val="clear" w:color="auto" w:fill="auto"/>
            <w:vAlign w:val="center"/>
          </w:tcPr>
          <w:p w14:paraId="4A615F53">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机场运营人</w:t>
            </w:r>
            <w:r>
              <w:rPr>
                <w:rFonts w:hint="eastAsia" w:ascii="仿宋_GB2312" w:hAnsi="仿宋_GB2312" w:eastAsia="仿宋_GB2312" w:cs="仿宋_GB2312"/>
                <w:kern w:val="0"/>
                <w:szCs w:val="21"/>
                <w:highlight w:val="none"/>
              </w:rPr>
              <w:t>的主要负责人、安全生产分管负责人、运行安全分管负责人岗位只要有一位空缺时间超过3个月，且未明确承担具体职责人员的，扣2分；当</w:t>
            </w:r>
            <w:r>
              <w:rPr>
                <w:rFonts w:hint="eastAsia" w:ascii="仿宋_GB2312" w:hAnsi="仿宋_GB2312" w:eastAsia="仿宋_GB2312" w:cs="仿宋_GB2312"/>
                <w:kern w:val="0"/>
                <w:szCs w:val="21"/>
                <w:highlight w:val="none"/>
                <w:lang w:eastAsia="zh-CN"/>
              </w:rPr>
              <w:t>机场运营人</w:t>
            </w:r>
            <w:r>
              <w:rPr>
                <w:rFonts w:hint="eastAsia" w:ascii="仿宋_GB2312" w:hAnsi="仿宋_GB2312" w:eastAsia="仿宋_GB2312" w:cs="仿宋_GB2312"/>
                <w:kern w:val="0"/>
                <w:szCs w:val="21"/>
                <w:highlight w:val="none"/>
              </w:rPr>
              <w:t>的主要负责人、安全生产分管负责人岗位两位同时出现空缺，扣10分。</w:t>
            </w:r>
          </w:p>
        </w:tc>
      </w:tr>
      <w:tr w14:paraId="7E66CB63">
        <w:tblPrEx>
          <w:tblCellMar>
            <w:top w:w="0" w:type="dxa"/>
            <w:left w:w="108" w:type="dxa"/>
            <w:bottom w:w="0" w:type="dxa"/>
            <w:right w:w="108" w:type="dxa"/>
          </w:tblCellMar>
        </w:tblPrEx>
        <w:trPr>
          <w:trHeight w:val="558" w:hRule="atLeast"/>
          <w:jc w:val="center"/>
        </w:trPr>
        <w:tc>
          <w:tcPr>
            <w:tcW w:w="498" w:type="dxa"/>
            <w:vMerge w:val="continue"/>
            <w:tcBorders>
              <w:left w:val="single" w:color="auto" w:sz="4" w:space="0"/>
              <w:bottom w:val="single" w:color="auto" w:sz="4" w:space="0"/>
              <w:right w:val="single" w:color="auto" w:sz="4" w:space="0"/>
            </w:tcBorders>
            <w:shd w:val="clear" w:color="auto" w:fill="auto"/>
            <w:vAlign w:val="center"/>
          </w:tcPr>
          <w:p w14:paraId="2B531EEB">
            <w:pPr>
              <w:widowControl/>
              <w:snapToGrid w:val="0"/>
              <w:jc w:val="center"/>
              <w:rPr>
                <w:rFonts w:hint="eastAsia" w:ascii="仿宋_GB2312" w:hAnsi="仿宋_GB2312" w:eastAsia="仿宋_GB2312" w:cs="仿宋_GB2312"/>
                <w:kern w:val="0"/>
                <w:szCs w:val="21"/>
                <w:highlight w:val="none"/>
              </w:rPr>
            </w:pPr>
          </w:p>
        </w:tc>
        <w:tc>
          <w:tcPr>
            <w:tcW w:w="1974" w:type="dxa"/>
            <w:vMerge w:val="continue"/>
            <w:tcBorders>
              <w:left w:val="nil"/>
              <w:bottom w:val="single" w:color="auto" w:sz="4" w:space="0"/>
              <w:right w:val="single" w:color="auto" w:sz="4" w:space="0"/>
            </w:tcBorders>
            <w:shd w:val="clear" w:color="auto" w:fill="auto"/>
            <w:vAlign w:val="center"/>
          </w:tcPr>
          <w:p w14:paraId="4D2076A0">
            <w:pPr>
              <w:widowControl/>
              <w:snapToGrid w:val="0"/>
              <w:jc w:val="center"/>
              <w:rPr>
                <w:rFonts w:hint="eastAsia" w:ascii="仿宋_GB2312" w:hAnsi="仿宋_GB2312" w:eastAsia="仿宋_GB2312" w:cs="仿宋_GB2312"/>
                <w:kern w:val="0"/>
                <w:szCs w:val="21"/>
                <w:highlight w:val="none"/>
              </w:rPr>
            </w:pPr>
          </w:p>
        </w:tc>
        <w:tc>
          <w:tcPr>
            <w:tcW w:w="459" w:type="dxa"/>
            <w:vMerge w:val="continue"/>
            <w:tcBorders>
              <w:left w:val="nil"/>
              <w:bottom w:val="single" w:color="auto" w:sz="4" w:space="0"/>
              <w:right w:val="single" w:color="auto" w:sz="4" w:space="0"/>
            </w:tcBorders>
            <w:shd w:val="clear" w:color="auto" w:fill="auto"/>
            <w:vAlign w:val="center"/>
          </w:tcPr>
          <w:p w14:paraId="0E7480F8">
            <w:pPr>
              <w:widowControl/>
              <w:snapToGrid w:val="0"/>
              <w:jc w:val="center"/>
              <w:rPr>
                <w:rFonts w:hint="eastAsia" w:ascii="仿宋_GB2312" w:hAnsi="仿宋_GB2312" w:eastAsia="仿宋_GB2312" w:cs="仿宋_GB2312"/>
                <w:bCs/>
                <w:kern w:val="0"/>
                <w:szCs w:val="21"/>
                <w:highlight w:val="none"/>
              </w:rPr>
            </w:pPr>
          </w:p>
        </w:tc>
        <w:tc>
          <w:tcPr>
            <w:tcW w:w="6196" w:type="dxa"/>
            <w:tcBorders>
              <w:top w:val="single" w:color="auto" w:sz="4" w:space="0"/>
              <w:left w:val="nil"/>
              <w:bottom w:val="single" w:color="auto" w:sz="4" w:space="0"/>
              <w:right w:val="single" w:color="auto" w:sz="4" w:space="0"/>
            </w:tcBorders>
            <w:shd w:val="clear" w:color="auto" w:fill="auto"/>
            <w:vAlign w:val="center"/>
          </w:tcPr>
          <w:p w14:paraId="3968CA94">
            <w:pPr>
              <w:widowControl/>
              <w:snapToGrid w:val="0"/>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有关关键岗位人员配备不符合《运输机场运行安全管理规定》要求，存在以下情况：</w:t>
            </w:r>
          </w:p>
          <w:p w14:paraId="5DF3916F">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1.隶属的</w:t>
            </w:r>
            <w:r>
              <w:rPr>
                <w:rFonts w:hint="eastAsia" w:ascii="仿宋_GB2312" w:hAnsi="仿宋_GB2312" w:eastAsia="仿宋_GB2312" w:cs="仿宋_GB2312"/>
                <w:kern w:val="0"/>
                <w:szCs w:val="21"/>
                <w:highlight w:val="none"/>
              </w:rPr>
              <w:t>机场集团</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公司</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rPr>
              <w:t>主要负责人</w:t>
            </w:r>
            <w:r>
              <w:rPr>
                <w:rFonts w:hint="eastAsia" w:ascii="仿宋_GB2312" w:hAnsi="仿宋_GB2312" w:eastAsia="仿宋_GB2312" w:cs="仿宋_GB2312"/>
                <w:kern w:val="0"/>
                <w:szCs w:val="21"/>
                <w:highlight w:val="none"/>
                <w:lang w:val="en-US" w:eastAsia="zh-CN"/>
              </w:rPr>
              <w:t>或者</w:t>
            </w:r>
            <w:r>
              <w:rPr>
                <w:rFonts w:hint="eastAsia" w:ascii="仿宋_GB2312" w:hAnsi="仿宋_GB2312" w:eastAsia="仿宋_GB2312" w:cs="仿宋_GB2312"/>
                <w:kern w:val="0"/>
                <w:szCs w:val="21"/>
                <w:highlight w:val="none"/>
              </w:rPr>
              <w:t>机场</w:t>
            </w:r>
            <w:r>
              <w:rPr>
                <w:rFonts w:hint="eastAsia" w:ascii="仿宋_GB2312" w:hAnsi="仿宋_GB2312" w:eastAsia="仿宋_GB2312" w:cs="仿宋_GB2312"/>
                <w:kern w:val="0"/>
                <w:szCs w:val="21"/>
                <w:highlight w:val="none"/>
                <w:lang w:val="en-US" w:eastAsia="zh-CN"/>
              </w:rPr>
              <w:t>公司</w:t>
            </w:r>
            <w:r>
              <w:rPr>
                <w:rFonts w:hint="eastAsia" w:ascii="仿宋_GB2312" w:hAnsi="仿宋_GB2312" w:eastAsia="仿宋_GB2312" w:cs="仿宋_GB2312"/>
                <w:kern w:val="0"/>
                <w:szCs w:val="21"/>
                <w:highlight w:val="none"/>
              </w:rPr>
              <w:t>主要负责人不符合</w:t>
            </w:r>
            <w:r>
              <w:rPr>
                <w:rFonts w:hint="eastAsia" w:ascii="仿宋_GB2312" w:hAnsi="仿宋_GB2312" w:eastAsia="仿宋_GB2312" w:cs="仿宋_GB2312"/>
                <w:kern w:val="0"/>
                <w:szCs w:val="21"/>
                <w:highlight w:val="none"/>
                <w:lang w:val="en-US" w:eastAsia="zh-CN"/>
              </w:rPr>
              <w:t>至少一名</w:t>
            </w:r>
            <w:r>
              <w:rPr>
                <w:rFonts w:hint="eastAsia" w:ascii="仿宋_GB2312" w:hAnsi="仿宋_GB2312" w:eastAsia="仿宋_GB2312" w:cs="仿宋_GB2312"/>
                <w:kern w:val="0"/>
                <w:szCs w:val="21"/>
                <w:highlight w:val="none"/>
              </w:rPr>
              <w:t>具有5年以上民航行业工作经历的，</w:t>
            </w:r>
            <w:r>
              <w:rPr>
                <w:rFonts w:hint="eastAsia" w:ascii="仿宋_GB2312" w:hAnsi="仿宋_GB2312" w:eastAsia="仿宋_GB2312" w:cs="仿宋_GB2312"/>
                <w:kern w:val="0"/>
                <w:szCs w:val="21"/>
                <w:highlight w:val="none"/>
                <w:lang w:val="en-US" w:eastAsia="zh-CN"/>
              </w:rPr>
              <w:t>每一情形</w:t>
            </w:r>
            <w:r>
              <w:rPr>
                <w:rFonts w:hint="eastAsia" w:ascii="仿宋_GB2312" w:hAnsi="仿宋_GB2312" w:eastAsia="仿宋_GB2312" w:cs="仿宋_GB2312"/>
                <w:kern w:val="0"/>
                <w:szCs w:val="21"/>
                <w:highlight w:val="none"/>
              </w:rPr>
              <w:t>扣10分</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累计扣分不超过10分</w:t>
            </w:r>
            <w:r>
              <w:rPr>
                <w:rFonts w:hint="eastAsia" w:ascii="仿宋_GB2312" w:hAnsi="仿宋_GB2312" w:eastAsia="仿宋_GB2312" w:cs="仿宋_GB2312"/>
                <w:kern w:val="0"/>
                <w:szCs w:val="21"/>
                <w:highlight w:val="none"/>
              </w:rPr>
              <w:t>；</w:t>
            </w:r>
          </w:p>
          <w:p w14:paraId="2BE3E244">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2.隶属的</w:t>
            </w:r>
            <w:r>
              <w:rPr>
                <w:rFonts w:hint="eastAsia" w:ascii="仿宋_GB2312" w:hAnsi="仿宋_GB2312" w:eastAsia="仿宋_GB2312" w:cs="仿宋_GB2312"/>
                <w:kern w:val="0"/>
                <w:szCs w:val="21"/>
                <w:highlight w:val="none"/>
              </w:rPr>
              <w:t>机场集团</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公司</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或者</w:t>
            </w:r>
            <w:r>
              <w:rPr>
                <w:rFonts w:hint="eastAsia" w:ascii="仿宋_GB2312" w:hAnsi="仿宋_GB2312" w:eastAsia="仿宋_GB2312" w:cs="仿宋_GB2312"/>
                <w:kern w:val="0"/>
                <w:szCs w:val="21"/>
                <w:highlight w:val="none"/>
              </w:rPr>
              <w:t>机场</w:t>
            </w:r>
            <w:r>
              <w:rPr>
                <w:rFonts w:hint="eastAsia" w:ascii="仿宋_GB2312" w:hAnsi="仿宋_GB2312" w:eastAsia="仿宋_GB2312" w:cs="仿宋_GB2312"/>
                <w:kern w:val="0"/>
                <w:szCs w:val="21"/>
                <w:highlight w:val="none"/>
                <w:lang w:val="en-US" w:eastAsia="zh-CN"/>
              </w:rPr>
              <w:t>公司的</w:t>
            </w:r>
            <w:r>
              <w:rPr>
                <w:rFonts w:hint="eastAsia" w:ascii="仿宋_GB2312" w:hAnsi="仿宋_GB2312" w:eastAsia="仿宋_GB2312" w:cs="仿宋_GB2312"/>
                <w:kern w:val="0"/>
                <w:szCs w:val="21"/>
                <w:highlight w:val="none"/>
              </w:rPr>
              <w:t>安全生产分管负责人、运行安全分管负责人不符合</w:t>
            </w:r>
            <w:r>
              <w:rPr>
                <w:rFonts w:hint="eastAsia" w:ascii="仿宋_GB2312" w:hAnsi="仿宋_GB2312" w:eastAsia="仿宋_GB2312" w:cs="仿宋_GB2312"/>
                <w:kern w:val="0"/>
                <w:szCs w:val="21"/>
                <w:highlight w:val="none"/>
                <w:lang w:val="en-US" w:eastAsia="zh-CN"/>
              </w:rPr>
              <w:t>具有</w:t>
            </w:r>
            <w:r>
              <w:rPr>
                <w:rFonts w:hint="eastAsia" w:ascii="仿宋_GB2312" w:hAnsi="仿宋_GB2312" w:eastAsia="仿宋_GB2312" w:cs="仿宋_GB2312"/>
                <w:kern w:val="0"/>
                <w:szCs w:val="21"/>
                <w:highlight w:val="none"/>
              </w:rPr>
              <w:t>3年以上民航企事业单位专业管理部门负责人工作经历（至少包含两年机场飞行区运行安全管理部门主要负责人工作经历）或者3年以上</w:t>
            </w:r>
            <w:r>
              <w:rPr>
                <w:rFonts w:hint="eastAsia" w:ascii="仿宋_GB2312" w:hAnsi="仿宋_GB2312" w:eastAsia="仿宋_GB2312" w:cs="仿宋_GB2312"/>
                <w:kern w:val="0"/>
                <w:szCs w:val="21"/>
                <w:highlight w:val="none"/>
                <w:lang w:eastAsia="zh-CN"/>
              </w:rPr>
              <w:t>民航行政机关</w:t>
            </w:r>
            <w:r>
              <w:rPr>
                <w:rFonts w:hint="eastAsia" w:ascii="仿宋_GB2312" w:hAnsi="仿宋_GB2312" w:eastAsia="仿宋_GB2312" w:cs="仿宋_GB2312"/>
                <w:kern w:val="0"/>
                <w:szCs w:val="21"/>
                <w:highlight w:val="none"/>
              </w:rPr>
              <w:t>工作经历的，每有1人扣</w:t>
            </w:r>
            <w:r>
              <w:rPr>
                <w:rFonts w:hint="eastAsia" w:ascii="仿宋_GB2312" w:hAnsi="仿宋_GB2312" w:eastAsia="仿宋_GB2312" w:cs="仿宋_GB2312"/>
                <w:kern w:val="0"/>
                <w:szCs w:val="21"/>
                <w:highlight w:val="none"/>
                <w:lang w:val="en-US" w:eastAsia="zh-CN"/>
              </w:rPr>
              <w:t>8</w:t>
            </w:r>
            <w:r>
              <w:rPr>
                <w:rFonts w:hint="eastAsia" w:ascii="仿宋_GB2312" w:hAnsi="仿宋_GB2312" w:eastAsia="仿宋_GB2312" w:cs="仿宋_GB2312"/>
                <w:kern w:val="0"/>
                <w:szCs w:val="21"/>
                <w:highlight w:val="none"/>
              </w:rPr>
              <w:t>分</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累计扣分不超过10分</w:t>
            </w:r>
            <w:r>
              <w:rPr>
                <w:rFonts w:hint="eastAsia" w:ascii="仿宋_GB2312" w:hAnsi="仿宋_GB2312" w:eastAsia="仿宋_GB2312" w:cs="仿宋_GB2312"/>
                <w:kern w:val="0"/>
                <w:szCs w:val="21"/>
                <w:highlight w:val="none"/>
              </w:rPr>
              <w:t>。</w:t>
            </w:r>
          </w:p>
          <w:p w14:paraId="010EA00B">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3.机场公司</w:t>
            </w:r>
            <w:r>
              <w:rPr>
                <w:rFonts w:hint="eastAsia" w:ascii="仿宋_GB2312" w:hAnsi="仿宋_GB2312" w:eastAsia="仿宋_GB2312" w:cs="仿宋_GB2312"/>
                <w:kern w:val="0"/>
                <w:szCs w:val="21"/>
                <w:highlight w:val="none"/>
              </w:rPr>
              <w:t>飞行区安全管理部门主要负责人不符合具有两年以上机场运行安全相关专业工作经历或者</w:t>
            </w:r>
            <w:r>
              <w:rPr>
                <w:rFonts w:hint="eastAsia" w:ascii="仿宋_GB2312" w:hAnsi="仿宋_GB2312" w:eastAsia="仿宋_GB2312" w:cs="仿宋_GB2312"/>
                <w:kern w:val="0"/>
                <w:szCs w:val="21"/>
                <w:highlight w:val="none"/>
                <w:lang w:eastAsia="zh-CN"/>
              </w:rPr>
              <w:t>民航行政机关</w:t>
            </w:r>
            <w:r>
              <w:rPr>
                <w:rFonts w:hint="eastAsia" w:ascii="仿宋_GB2312" w:hAnsi="仿宋_GB2312" w:eastAsia="仿宋_GB2312" w:cs="仿宋_GB2312"/>
                <w:kern w:val="0"/>
                <w:szCs w:val="21"/>
                <w:highlight w:val="none"/>
              </w:rPr>
              <w:t>工作经历的，扣</w:t>
            </w:r>
            <w:r>
              <w:rPr>
                <w:rFonts w:hint="eastAsia" w:ascii="仿宋_GB2312" w:hAnsi="仿宋_GB2312" w:eastAsia="仿宋_GB2312" w:cs="仿宋_GB2312"/>
                <w:kern w:val="0"/>
                <w:szCs w:val="21"/>
                <w:highlight w:val="none"/>
                <w:lang w:eastAsia="zh-CN"/>
              </w:rPr>
              <w:t>5</w:t>
            </w:r>
            <w:r>
              <w:rPr>
                <w:rFonts w:hint="eastAsia" w:ascii="仿宋_GB2312" w:hAnsi="仿宋_GB2312" w:eastAsia="仿宋_GB2312" w:cs="仿宋_GB2312"/>
                <w:kern w:val="0"/>
                <w:szCs w:val="21"/>
                <w:highlight w:val="none"/>
              </w:rPr>
              <w:t>分。</w:t>
            </w:r>
          </w:p>
          <w:p w14:paraId="4C512AEC">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4.机场公司</w:t>
            </w:r>
            <w:r>
              <w:rPr>
                <w:rFonts w:hint="eastAsia" w:ascii="仿宋_GB2312" w:hAnsi="仿宋_GB2312" w:eastAsia="仿宋_GB2312" w:cs="仿宋_GB2312"/>
                <w:kern w:val="0"/>
                <w:szCs w:val="21"/>
                <w:highlight w:val="none"/>
              </w:rPr>
              <w:t>运行指挥中心主要负责人不符合具有两年以上运行指挥员、机场有关专业工作经历或者</w:t>
            </w:r>
            <w:r>
              <w:rPr>
                <w:rFonts w:hint="eastAsia" w:ascii="仿宋_GB2312" w:hAnsi="仿宋_GB2312" w:eastAsia="仿宋_GB2312" w:cs="仿宋_GB2312"/>
                <w:kern w:val="0"/>
                <w:szCs w:val="21"/>
                <w:highlight w:val="none"/>
                <w:lang w:eastAsia="zh-CN"/>
              </w:rPr>
              <w:t>民航行政机关</w:t>
            </w:r>
            <w:r>
              <w:rPr>
                <w:rFonts w:hint="eastAsia" w:ascii="仿宋_GB2312" w:hAnsi="仿宋_GB2312" w:eastAsia="仿宋_GB2312" w:cs="仿宋_GB2312"/>
                <w:kern w:val="0"/>
                <w:szCs w:val="21"/>
                <w:highlight w:val="none"/>
              </w:rPr>
              <w:t>工作经历的，扣</w:t>
            </w:r>
            <w:r>
              <w:rPr>
                <w:rFonts w:hint="eastAsia" w:ascii="仿宋_GB2312" w:hAnsi="仿宋_GB2312" w:eastAsia="仿宋_GB2312" w:cs="仿宋_GB2312"/>
                <w:kern w:val="0"/>
                <w:szCs w:val="21"/>
                <w:highlight w:val="none"/>
                <w:lang w:val="en-US" w:eastAsia="zh-CN"/>
              </w:rPr>
              <w:t>3</w:t>
            </w:r>
            <w:r>
              <w:rPr>
                <w:rFonts w:hint="eastAsia" w:ascii="仿宋_GB2312" w:hAnsi="仿宋_GB2312" w:eastAsia="仿宋_GB2312" w:cs="仿宋_GB2312"/>
                <w:kern w:val="0"/>
                <w:szCs w:val="21"/>
                <w:highlight w:val="none"/>
              </w:rPr>
              <w:t>分。</w:t>
            </w:r>
          </w:p>
          <w:p w14:paraId="557488CC">
            <w:pPr>
              <w:widowControl/>
              <w:snapToGrid w:val="0"/>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注：在</w:t>
            </w:r>
            <w:r>
              <w:rPr>
                <w:rFonts w:hint="eastAsia" w:ascii="仿宋_GB2312" w:hAnsi="仿宋_GB2312" w:eastAsia="仿宋_GB2312" w:cs="仿宋_GB2312"/>
                <w:kern w:val="0"/>
                <w:szCs w:val="21"/>
                <w:highlight w:val="none"/>
              </w:rPr>
              <w:t>2026年7月1日</w:t>
            </w:r>
            <w:r>
              <w:rPr>
                <w:rFonts w:hint="eastAsia" w:ascii="仿宋_GB2312" w:hAnsi="仿宋_GB2312" w:eastAsia="仿宋_GB2312" w:cs="仿宋_GB2312"/>
                <w:kern w:val="0"/>
                <w:szCs w:val="21"/>
                <w:highlight w:val="none"/>
                <w:lang w:val="en-US" w:eastAsia="zh-CN"/>
              </w:rPr>
              <w:t>至</w:t>
            </w:r>
            <w:r>
              <w:rPr>
                <w:rFonts w:hint="eastAsia" w:ascii="仿宋_GB2312" w:hAnsi="仿宋_GB2312" w:eastAsia="仿宋_GB2312" w:cs="仿宋_GB2312"/>
                <w:strike w:val="0"/>
                <w:kern w:val="0"/>
                <w:szCs w:val="21"/>
                <w:highlight w:val="none"/>
                <w:lang w:val="en-US" w:eastAsia="zh-CN"/>
              </w:rPr>
              <w:t>2029年6月30日过渡期内，</w:t>
            </w:r>
            <w:r>
              <w:rPr>
                <w:rFonts w:hint="eastAsia" w:ascii="仿宋_GB2312" w:hAnsi="仿宋_GB2312" w:eastAsia="仿宋_GB2312" w:cs="仿宋_GB2312"/>
                <w:kern w:val="0"/>
                <w:szCs w:val="21"/>
                <w:highlight w:val="none"/>
                <w:lang w:val="en-US" w:eastAsia="zh-CN"/>
              </w:rPr>
              <w:t>新</w:t>
            </w:r>
            <w:r>
              <w:rPr>
                <w:rFonts w:hint="eastAsia" w:ascii="仿宋_GB2312" w:hAnsi="仿宋_GB2312" w:eastAsia="仿宋_GB2312" w:cs="仿宋_GB2312"/>
                <w:kern w:val="0"/>
                <w:szCs w:val="21"/>
                <w:highlight w:val="none"/>
              </w:rPr>
              <w:t>任命</w:t>
            </w:r>
            <w:r>
              <w:rPr>
                <w:rFonts w:hint="eastAsia" w:ascii="仿宋_GB2312" w:hAnsi="仿宋_GB2312" w:eastAsia="仿宋_GB2312" w:cs="仿宋_GB2312"/>
                <w:kern w:val="0"/>
                <w:szCs w:val="21"/>
                <w:highlight w:val="none"/>
                <w:lang w:val="en-US" w:eastAsia="zh-CN"/>
              </w:rPr>
              <w:t>或者调整工作分工</w:t>
            </w:r>
            <w:r>
              <w:rPr>
                <w:rFonts w:hint="eastAsia" w:ascii="仿宋_GB2312" w:hAnsi="仿宋_GB2312" w:eastAsia="仿宋_GB2312" w:cs="仿宋_GB2312"/>
                <w:kern w:val="0"/>
                <w:szCs w:val="21"/>
                <w:highlight w:val="none"/>
              </w:rPr>
              <w:t>的</w:t>
            </w:r>
            <w:r>
              <w:rPr>
                <w:rFonts w:hint="eastAsia" w:ascii="仿宋_GB2312" w:hAnsi="仿宋_GB2312" w:eastAsia="仿宋_GB2312" w:cs="仿宋_GB2312"/>
                <w:kern w:val="0"/>
                <w:szCs w:val="21"/>
                <w:highlight w:val="none"/>
                <w:lang w:val="en-US" w:eastAsia="zh-CN"/>
              </w:rPr>
              <w:t>有关岗位人员不符合任职条件的按照上述规定扣分</w:t>
            </w:r>
            <w:r>
              <w:rPr>
                <w:rFonts w:hint="eastAsia" w:ascii="仿宋_GB2312" w:hAnsi="仿宋_GB2312" w:eastAsia="仿宋_GB2312" w:cs="仿宋_GB2312"/>
                <w:strike w:val="0"/>
                <w:kern w:val="0"/>
                <w:szCs w:val="21"/>
                <w:highlight w:val="none"/>
                <w:lang w:val="en-US" w:eastAsia="zh-CN"/>
              </w:rPr>
              <w:t>。在过渡期后，所有有关岗位人员</w:t>
            </w:r>
            <w:r>
              <w:rPr>
                <w:rFonts w:hint="eastAsia" w:ascii="仿宋_GB2312" w:hAnsi="仿宋_GB2312" w:eastAsia="仿宋_GB2312" w:cs="仿宋_GB2312"/>
                <w:kern w:val="0"/>
                <w:szCs w:val="21"/>
                <w:highlight w:val="none"/>
                <w:lang w:val="en-US" w:eastAsia="zh-CN"/>
              </w:rPr>
              <w:t>不符合任职条件的</w:t>
            </w:r>
            <w:r>
              <w:rPr>
                <w:rFonts w:hint="eastAsia" w:ascii="仿宋_GB2312" w:hAnsi="仿宋_GB2312" w:eastAsia="仿宋_GB2312" w:cs="仿宋_GB2312"/>
                <w:strike w:val="0"/>
                <w:kern w:val="0"/>
                <w:szCs w:val="21"/>
                <w:highlight w:val="none"/>
                <w:lang w:val="en-US" w:eastAsia="zh-CN"/>
              </w:rPr>
              <w:t>均按照上述要求扣分。</w:t>
            </w:r>
          </w:p>
        </w:tc>
      </w:tr>
      <w:tr w14:paraId="6D5B06FC">
        <w:tblPrEx>
          <w:tblCellMar>
            <w:top w:w="0" w:type="dxa"/>
            <w:left w:w="108" w:type="dxa"/>
            <w:bottom w:w="0" w:type="dxa"/>
            <w:right w:w="108" w:type="dxa"/>
          </w:tblCellMar>
        </w:tblPrEx>
        <w:trPr>
          <w:trHeight w:val="558"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14:paraId="5FBCC274">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974" w:type="dxa"/>
            <w:tcBorders>
              <w:top w:val="single" w:color="auto" w:sz="4" w:space="0"/>
              <w:left w:val="nil"/>
              <w:bottom w:val="single" w:color="auto" w:sz="4" w:space="0"/>
              <w:right w:val="single" w:color="auto" w:sz="4" w:space="0"/>
            </w:tcBorders>
            <w:shd w:val="clear" w:color="auto" w:fill="auto"/>
            <w:vAlign w:val="center"/>
          </w:tcPr>
          <w:p w14:paraId="677CC41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安全投入情况</w:t>
            </w:r>
          </w:p>
        </w:tc>
        <w:tc>
          <w:tcPr>
            <w:tcW w:w="459" w:type="dxa"/>
            <w:tcBorders>
              <w:top w:val="single" w:color="auto" w:sz="4" w:space="0"/>
              <w:left w:val="nil"/>
              <w:bottom w:val="single" w:color="auto" w:sz="4" w:space="0"/>
              <w:right w:val="single" w:color="auto" w:sz="4" w:space="0"/>
            </w:tcBorders>
            <w:shd w:val="clear" w:color="auto" w:fill="auto"/>
            <w:vAlign w:val="center"/>
          </w:tcPr>
          <w:p w14:paraId="387A978B">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3</w:t>
            </w:r>
          </w:p>
        </w:tc>
        <w:tc>
          <w:tcPr>
            <w:tcW w:w="6196" w:type="dxa"/>
            <w:tcBorders>
              <w:top w:val="single" w:color="auto" w:sz="4" w:space="0"/>
              <w:left w:val="nil"/>
              <w:bottom w:val="single" w:color="auto" w:sz="4" w:space="0"/>
              <w:right w:val="single" w:color="auto" w:sz="4" w:space="0"/>
            </w:tcBorders>
            <w:shd w:val="clear" w:color="auto" w:fill="auto"/>
            <w:vAlign w:val="center"/>
          </w:tcPr>
          <w:p w14:paraId="52148164">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根据机场设施设备配备、新技术应用、人员配备与培训等资金投入和使用等情况综合评估，分档打分：情况为“很好”的，打分区间为[</w:t>
            </w:r>
            <w:r>
              <w:rPr>
                <w:rFonts w:hint="eastAsia" w:ascii="仿宋_GB2312" w:hAnsi="仿宋_GB2312" w:eastAsia="仿宋_GB2312" w:cs="仿宋_GB2312"/>
                <w:b w:val="0"/>
                <w:bCs w:val="0"/>
                <w:kern w:val="0"/>
                <w:szCs w:val="21"/>
              </w:rPr>
              <w:t>2,2.8）；情</w:t>
            </w:r>
            <w:r>
              <w:rPr>
                <w:rFonts w:hint="eastAsia" w:ascii="仿宋_GB2312" w:hAnsi="仿宋_GB2312" w:eastAsia="仿宋_GB2312" w:cs="仿宋_GB2312"/>
                <w:kern w:val="0"/>
                <w:szCs w:val="21"/>
              </w:rPr>
              <w:t>况为“好”的，打分区间为[1.5,2）；情况为“中”的，打分区间为[1,1.5）；情况为“较差”的，打分区间为[0.5,1）；情况为“差”的，打分区间为[0,0.5）分。（打分可以为非整数，保留一位小数）</w:t>
            </w:r>
          </w:p>
        </w:tc>
      </w:tr>
      <w:tr w14:paraId="4B8915F2">
        <w:tblPrEx>
          <w:tblCellMar>
            <w:top w:w="0" w:type="dxa"/>
            <w:left w:w="108" w:type="dxa"/>
            <w:bottom w:w="0" w:type="dxa"/>
            <w:right w:w="108" w:type="dxa"/>
          </w:tblCellMar>
        </w:tblPrEx>
        <w:trPr>
          <w:trHeight w:val="1005"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14:paraId="5827E4DC">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974" w:type="dxa"/>
            <w:tcBorders>
              <w:top w:val="nil"/>
              <w:left w:val="nil"/>
              <w:bottom w:val="single" w:color="auto" w:sz="4" w:space="0"/>
              <w:right w:val="single" w:color="auto" w:sz="4" w:space="0"/>
            </w:tcBorders>
            <w:shd w:val="clear" w:color="auto" w:fill="auto"/>
            <w:vAlign w:val="center"/>
          </w:tcPr>
          <w:p w14:paraId="0D83BABF">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运行安全问题及</w:t>
            </w:r>
          </w:p>
          <w:p w14:paraId="119FD74E">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整改情况</w:t>
            </w:r>
          </w:p>
        </w:tc>
        <w:tc>
          <w:tcPr>
            <w:tcW w:w="459" w:type="dxa"/>
            <w:tcBorders>
              <w:top w:val="nil"/>
              <w:left w:val="nil"/>
              <w:bottom w:val="single" w:color="auto" w:sz="4" w:space="0"/>
              <w:right w:val="single" w:color="auto" w:sz="4" w:space="0"/>
            </w:tcBorders>
            <w:shd w:val="clear" w:color="auto" w:fill="auto"/>
            <w:vAlign w:val="center"/>
          </w:tcPr>
          <w:p w14:paraId="3C137B5E">
            <w:pPr>
              <w:widowControl/>
              <w:snapToGrid w:val="0"/>
              <w:jc w:val="center"/>
              <w:rPr>
                <w:rFonts w:hint="eastAsia" w:ascii="仿宋_GB2312" w:hAnsi="仿宋_GB2312" w:eastAsia="仿宋_GB2312" w:cs="仿宋_GB2312"/>
                <w:bCs/>
                <w:kern w:val="0"/>
                <w:szCs w:val="21"/>
                <w:lang w:eastAsia="zh-CN"/>
              </w:rPr>
            </w:pPr>
            <w:r>
              <w:rPr>
                <w:rFonts w:hint="eastAsia" w:ascii="仿宋_GB2312" w:hAnsi="仿宋_GB2312" w:eastAsia="仿宋_GB2312" w:cs="仿宋_GB2312"/>
                <w:bCs/>
                <w:kern w:val="0"/>
                <w:szCs w:val="21"/>
                <w:lang w:val="en-US" w:eastAsia="zh-CN"/>
              </w:rPr>
              <w:t>3</w:t>
            </w:r>
          </w:p>
        </w:tc>
        <w:tc>
          <w:tcPr>
            <w:tcW w:w="6196" w:type="dxa"/>
            <w:tcBorders>
              <w:top w:val="single" w:color="auto" w:sz="4" w:space="0"/>
              <w:left w:val="nil"/>
              <w:bottom w:val="single" w:color="auto" w:sz="4" w:space="0"/>
              <w:right w:val="single" w:color="auto" w:sz="4" w:space="0"/>
            </w:tcBorders>
            <w:shd w:val="clear" w:color="auto" w:fill="auto"/>
            <w:vAlign w:val="center"/>
          </w:tcPr>
          <w:p w14:paraId="6B5ACC55">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各类机场运行安全检查中发现</w:t>
            </w:r>
            <w:r>
              <w:rPr>
                <w:rFonts w:hint="eastAsia" w:ascii="仿宋_GB2312" w:hAnsi="仿宋_GB2312" w:eastAsia="仿宋_GB2312" w:cs="仿宋_GB2312"/>
                <w:kern w:val="0"/>
                <w:szCs w:val="21"/>
                <w:highlight w:val="none"/>
              </w:rPr>
              <w:t>重大安全隐患问题（净空管理</w:t>
            </w:r>
            <w:r>
              <w:rPr>
                <w:rFonts w:hint="eastAsia" w:ascii="仿宋_GB2312" w:hAnsi="仿宋_GB2312" w:eastAsia="仿宋_GB2312" w:cs="仿宋_GB2312"/>
                <w:kern w:val="0"/>
                <w:szCs w:val="21"/>
                <w:highlight w:val="none"/>
                <w:lang w:eastAsia="zh-CN"/>
              </w:rPr>
              <w:t>、</w:t>
            </w:r>
            <w:r>
              <w:rPr>
                <w:rFonts w:hint="eastAsia" w:ascii="仿宋_GB2312" w:hAnsi="仿宋_GB2312" w:eastAsia="仿宋_GB2312" w:cs="仿宋_GB2312"/>
                <w:kern w:val="0"/>
                <w:szCs w:val="21"/>
                <w:highlight w:val="none"/>
                <w:lang w:val="en-US" w:eastAsia="zh-CN"/>
              </w:rPr>
              <w:t>鸟击</w:t>
            </w:r>
            <w:r>
              <w:rPr>
                <w:rFonts w:hint="eastAsia" w:ascii="仿宋_GB2312" w:hAnsi="仿宋_GB2312" w:eastAsia="仿宋_GB2312" w:cs="仿宋_GB2312"/>
                <w:kern w:val="0"/>
                <w:szCs w:val="21"/>
                <w:highlight w:val="none"/>
              </w:rPr>
              <w:t>事件除外），每有1项扣4分</w:t>
            </w:r>
            <w:r>
              <w:rPr>
                <w:rFonts w:hint="eastAsia" w:ascii="仿宋_GB2312" w:hAnsi="仿宋_GB2312" w:eastAsia="仿宋_GB2312" w:cs="仿宋_GB2312"/>
                <w:kern w:val="0"/>
                <w:szCs w:val="21"/>
              </w:rPr>
              <w:t>；发现典型或者重复性违规违章问题，每有1项扣1分；各类机场运行安全检查中发现的重大安全隐患问题的整改，整改期限到期未申请延期的或者延期后仍未完成整改的，每有1项加扣2分；典型或者重复性违规违章问题的整改，整改期限到期未申请延期的或者延期后仍未完成整改的，每有1项加扣1分；其他一般问题的整改，整改期限到期未申请延期的或者延期后仍未完成整改的，每有1项加扣0.5分。可以计负分。</w:t>
            </w:r>
          </w:p>
        </w:tc>
      </w:tr>
      <w:tr w14:paraId="1D3A0EC2">
        <w:tblPrEx>
          <w:tblCellMar>
            <w:top w:w="0" w:type="dxa"/>
            <w:left w:w="108" w:type="dxa"/>
            <w:bottom w:w="0" w:type="dxa"/>
            <w:right w:w="108" w:type="dxa"/>
          </w:tblCellMar>
        </w:tblPrEx>
        <w:trPr>
          <w:trHeight w:val="100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14:paraId="651BC35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5211BE5">
            <w:pPr>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安全信息报送情况</w:t>
            </w:r>
          </w:p>
        </w:tc>
        <w:tc>
          <w:tcPr>
            <w:tcW w:w="459" w:type="dxa"/>
            <w:tcBorders>
              <w:top w:val="single" w:color="auto" w:sz="4" w:space="0"/>
              <w:left w:val="single" w:color="auto" w:sz="4" w:space="0"/>
              <w:bottom w:val="single" w:color="auto" w:sz="4" w:space="0"/>
              <w:right w:val="single" w:color="auto" w:sz="4" w:space="0"/>
            </w:tcBorders>
            <w:shd w:val="clear" w:color="auto" w:fill="auto"/>
            <w:vAlign w:val="center"/>
          </w:tcPr>
          <w:p w14:paraId="12380ABE">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2</w:t>
            </w:r>
          </w:p>
        </w:tc>
        <w:tc>
          <w:tcPr>
            <w:tcW w:w="6196" w:type="dxa"/>
            <w:tcBorders>
              <w:top w:val="single" w:color="auto" w:sz="4" w:space="0"/>
              <w:left w:val="single" w:color="auto" w:sz="4" w:space="0"/>
              <w:bottom w:val="single" w:color="auto" w:sz="4" w:space="0"/>
              <w:right w:val="single" w:color="auto" w:sz="4" w:space="0"/>
            </w:tcBorders>
            <w:shd w:val="clear" w:color="auto" w:fill="auto"/>
            <w:vAlign w:val="center"/>
          </w:tcPr>
          <w:p w14:paraId="0B00D9E4">
            <w:pPr>
              <w:snapToGrid w:val="0"/>
              <w:rPr>
                <w:rFonts w:hint="eastAsia" w:ascii="仿宋_GB2312" w:hAnsi="仿宋_GB2312" w:eastAsia="仿宋_GB2312" w:cs="仿宋_GB2312"/>
                <w:szCs w:val="21"/>
              </w:rPr>
            </w:pPr>
            <w:r>
              <w:rPr>
                <w:rFonts w:hint="eastAsia" w:ascii="仿宋_GB2312" w:hAnsi="仿宋_GB2312" w:eastAsia="仿宋_GB2312" w:cs="仿宋_GB2312"/>
                <w:kern w:val="0"/>
                <w:szCs w:val="21"/>
              </w:rPr>
              <w:t>违反《民用航空安全信息管理规定》《运输机场运行安全管理规定》等相关规定，发生漏报、迟报机场运行安全信息的，每发生1起扣1分，可以计负分。</w:t>
            </w:r>
          </w:p>
        </w:tc>
      </w:tr>
      <w:tr w14:paraId="2CE5424F">
        <w:tblPrEx>
          <w:tblCellMar>
            <w:top w:w="0" w:type="dxa"/>
            <w:left w:w="108" w:type="dxa"/>
            <w:bottom w:w="0" w:type="dxa"/>
            <w:right w:w="108" w:type="dxa"/>
          </w:tblCellMar>
        </w:tblPrEx>
        <w:trPr>
          <w:trHeight w:val="76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14:paraId="3C5F5BA5">
            <w:pPr>
              <w:widowControl/>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6</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6E9032E2">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基于飞行视角的</w:t>
            </w:r>
          </w:p>
          <w:p w14:paraId="7296386B">
            <w:pPr>
              <w:widowControl/>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运输机场运行保障能力反馈工作机制建设情况</w:t>
            </w:r>
          </w:p>
        </w:tc>
        <w:tc>
          <w:tcPr>
            <w:tcW w:w="459" w:type="dxa"/>
            <w:tcBorders>
              <w:top w:val="single" w:color="auto" w:sz="4" w:space="0"/>
              <w:left w:val="single" w:color="auto" w:sz="4" w:space="0"/>
              <w:bottom w:val="single" w:color="auto" w:sz="4" w:space="0"/>
              <w:right w:val="single" w:color="auto" w:sz="4" w:space="0"/>
            </w:tcBorders>
            <w:shd w:val="clear" w:color="auto" w:fill="auto"/>
            <w:vAlign w:val="center"/>
          </w:tcPr>
          <w:p w14:paraId="2BAB03F4">
            <w:pPr>
              <w:widowControl/>
              <w:snapToGrid w:val="0"/>
              <w:jc w:val="center"/>
              <w:rPr>
                <w:rFonts w:hint="eastAsia" w:ascii="仿宋_GB2312" w:hAnsi="仿宋_GB2312" w:eastAsia="仿宋_GB2312" w:cs="仿宋_GB2312"/>
                <w:bCs/>
                <w:kern w:val="0"/>
                <w:sz w:val="21"/>
                <w:szCs w:val="21"/>
                <w:lang w:val="en-US" w:eastAsia="zh-CN" w:bidi="ar-SA"/>
              </w:rPr>
            </w:pPr>
            <w:r>
              <w:rPr>
                <w:rFonts w:hint="eastAsia" w:ascii="仿宋_GB2312" w:hAnsi="仿宋_GB2312" w:eastAsia="仿宋_GB2312" w:cs="仿宋_GB2312"/>
                <w:bCs/>
                <w:kern w:val="0"/>
                <w:szCs w:val="21"/>
              </w:rPr>
              <w:t>2</w:t>
            </w:r>
          </w:p>
        </w:tc>
        <w:tc>
          <w:tcPr>
            <w:tcW w:w="6196" w:type="dxa"/>
            <w:tcBorders>
              <w:top w:val="single" w:color="auto" w:sz="4" w:space="0"/>
              <w:left w:val="single" w:color="auto" w:sz="4" w:space="0"/>
              <w:bottom w:val="single" w:color="auto" w:sz="4" w:space="0"/>
              <w:right w:val="single" w:color="auto" w:sz="4" w:space="0"/>
            </w:tcBorders>
            <w:shd w:val="clear" w:color="auto" w:fill="auto"/>
            <w:vAlign w:val="center"/>
          </w:tcPr>
          <w:p w14:paraId="3BDB0924">
            <w:pPr>
              <w:widowControl/>
              <w:snapToGrid w:val="0"/>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对于飞行员通过基于飞行视角反馈工作机制在“云报告”平台反馈的涉及本场问题的有关信息未在规定时间内完成回复的，每发生一起扣1分，可以计负分。</w:t>
            </w:r>
          </w:p>
        </w:tc>
      </w:tr>
      <w:tr w14:paraId="2600C7D9">
        <w:tblPrEx>
          <w:tblCellMar>
            <w:top w:w="0" w:type="dxa"/>
            <w:left w:w="108" w:type="dxa"/>
            <w:bottom w:w="0" w:type="dxa"/>
            <w:right w:w="108" w:type="dxa"/>
          </w:tblCellMar>
        </w:tblPrEx>
        <w:trPr>
          <w:trHeight w:val="76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14:paraId="5754E2EB">
            <w:pPr>
              <w:widowControl/>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7</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142637E0">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机场总规的符合</w:t>
            </w:r>
          </w:p>
          <w:p w14:paraId="6E924548">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情况</w:t>
            </w:r>
          </w:p>
        </w:tc>
        <w:tc>
          <w:tcPr>
            <w:tcW w:w="459" w:type="dxa"/>
            <w:tcBorders>
              <w:top w:val="single" w:color="auto" w:sz="4" w:space="0"/>
              <w:left w:val="single" w:color="auto" w:sz="4" w:space="0"/>
              <w:bottom w:val="single" w:color="auto" w:sz="4" w:space="0"/>
              <w:right w:val="single" w:color="auto" w:sz="4" w:space="0"/>
            </w:tcBorders>
            <w:shd w:val="clear" w:color="auto" w:fill="auto"/>
            <w:vAlign w:val="center"/>
          </w:tcPr>
          <w:p w14:paraId="7C78DB48">
            <w:pPr>
              <w:widowControl/>
              <w:snapToGrid w:val="0"/>
              <w:jc w:val="center"/>
              <w:rPr>
                <w:rFonts w:hint="eastAsia" w:ascii="仿宋_GB2312" w:hAnsi="仿宋_GB2312" w:eastAsia="仿宋_GB2312" w:cs="仿宋_GB2312"/>
                <w:bCs/>
                <w:kern w:val="0"/>
                <w:szCs w:val="21"/>
                <w:lang w:eastAsia="zh-CN"/>
              </w:rPr>
            </w:pPr>
            <w:r>
              <w:rPr>
                <w:rFonts w:hint="eastAsia" w:ascii="仿宋_GB2312" w:hAnsi="仿宋_GB2312" w:eastAsia="仿宋_GB2312" w:cs="仿宋_GB2312"/>
                <w:bCs/>
                <w:kern w:val="0"/>
                <w:szCs w:val="21"/>
                <w:lang w:val="en-US" w:eastAsia="zh-CN"/>
              </w:rPr>
              <w:t>1</w:t>
            </w:r>
          </w:p>
        </w:tc>
        <w:tc>
          <w:tcPr>
            <w:tcW w:w="6196" w:type="dxa"/>
            <w:tcBorders>
              <w:top w:val="single" w:color="auto" w:sz="4" w:space="0"/>
              <w:left w:val="single" w:color="auto" w:sz="4" w:space="0"/>
              <w:bottom w:val="single" w:color="auto" w:sz="4" w:space="0"/>
              <w:right w:val="single" w:color="auto" w:sz="4" w:space="0"/>
            </w:tcBorders>
            <w:shd w:val="clear" w:color="auto" w:fill="auto"/>
            <w:vAlign w:val="center"/>
          </w:tcPr>
          <w:p w14:paraId="43814A5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建设项目符合总规但未到管理局办理总规符合性备案的，每有1起扣1分；不符合总规实施建设的，每有1起扣2分，可以计负分。</w:t>
            </w:r>
          </w:p>
        </w:tc>
      </w:tr>
      <w:tr w14:paraId="7D41BCA3">
        <w:tblPrEx>
          <w:tblCellMar>
            <w:top w:w="0" w:type="dxa"/>
            <w:left w:w="108" w:type="dxa"/>
            <w:bottom w:w="0" w:type="dxa"/>
            <w:right w:w="108" w:type="dxa"/>
          </w:tblCellMar>
        </w:tblPrEx>
        <w:trPr>
          <w:trHeight w:val="76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14:paraId="06FF9BBD">
            <w:pPr>
              <w:widowControl/>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8</w:t>
            </w:r>
          </w:p>
        </w:tc>
        <w:tc>
          <w:tcPr>
            <w:tcW w:w="1974" w:type="dxa"/>
            <w:tcBorders>
              <w:top w:val="single" w:color="auto" w:sz="4" w:space="0"/>
              <w:left w:val="nil"/>
              <w:bottom w:val="single" w:color="auto" w:sz="4" w:space="0"/>
              <w:right w:val="single" w:color="auto" w:sz="4" w:space="0"/>
            </w:tcBorders>
            <w:shd w:val="clear" w:color="auto" w:fill="auto"/>
            <w:vAlign w:val="center"/>
          </w:tcPr>
          <w:p w14:paraId="17065537">
            <w:pPr>
              <w:widowControl/>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通用航空保障情况</w:t>
            </w:r>
          </w:p>
        </w:tc>
        <w:tc>
          <w:tcPr>
            <w:tcW w:w="459" w:type="dxa"/>
            <w:tcBorders>
              <w:top w:val="single" w:color="auto" w:sz="4" w:space="0"/>
              <w:left w:val="nil"/>
              <w:bottom w:val="single" w:color="auto" w:sz="4" w:space="0"/>
              <w:right w:val="single" w:color="auto" w:sz="4" w:space="0"/>
            </w:tcBorders>
            <w:shd w:val="clear" w:color="auto" w:fill="auto"/>
            <w:vAlign w:val="center"/>
          </w:tcPr>
          <w:p w14:paraId="4E3BB763">
            <w:pPr>
              <w:widowControl/>
              <w:snapToGrid w:val="0"/>
              <w:jc w:val="center"/>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1</w:t>
            </w:r>
          </w:p>
        </w:tc>
        <w:tc>
          <w:tcPr>
            <w:tcW w:w="6196" w:type="dxa"/>
            <w:tcBorders>
              <w:top w:val="single" w:color="auto" w:sz="4" w:space="0"/>
              <w:left w:val="nil"/>
              <w:bottom w:val="single" w:color="auto" w:sz="4" w:space="0"/>
              <w:right w:val="single" w:color="auto" w:sz="4" w:space="0"/>
            </w:tcBorders>
            <w:shd w:val="clear" w:color="auto" w:fill="auto"/>
            <w:vAlign w:val="center"/>
          </w:tcPr>
          <w:p w14:paraId="390BA63F">
            <w:pPr>
              <w:widowControl/>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无正当理由不为通用航空运行提供保障的，每有1起扣1分，可以计负分。</w:t>
            </w:r>
          </w:p>
        </w:tc>
      </w:tr>
    </w:tbl>
    <w:p w14:paraId="5D4ED32D">
      <w:pPr>
        <w:autoSpaceDE w:val="0"/>
        <w:autoSpaceDN w:val="0"/>
        <w:adjustRightInd w:val="0"/>
        <w:jc w:val="left"/>
        <w:rPr>
          <w:rFonts w:ascii="Times New Roman" w:hAnsi="Times New Roman" w:eastAsia="仿宋_GB2312" w:cs="宋体"/>
          <w:kern w:val="0"/>
          <w:szCs w:val="21"/>
        </w:rPr>
        <w:sectPr>
          <w:footerReference r:id="rId5" w:type="default"/>
          <w:pgSz w:w="11906" w:h="16838"/>
          <w:pgMar w:top="2098" w:right="1474" w:bottom="1984" w:left="1587" w:header="851" w:footer="992" w:gutter="0"/>
          <w:cols w:space="720" w:num="1"/>
          <w:docGrid w:type="lines" w:linePitch="312" w:charSpace="0"/>
        </w:sectPr>
      </w:pPr>
    </w:p>
    <w:p w14:paraId="65B12EA9">
      <w:pPr>
        <w:spacing w:line="560" w:lineRule="exact"/>
        <w:rPr>
          <w:rFonts w:ascii="Times New Roman" w:hAnsi="Times New Roman" w:eastAsia="黑体"/>
          <w:sz w:val="32"/>
          <w:szCs w:val="32"/>
        </w:rPr>
      </w:pPr>
      <w:r>
        <w:rPr>
          <w:rFonts w:hint="eastAsia" w:ascii="Times New Roman" w:hAnsi="Times New Roman" w:eastAsia="黑体"/>
          <w:sz w:val="32"/>
          <w:szCs w:val="32"/>
        </w:rPr>
        <w:t>附件三</w:t>
      </w:r>
    </w:p>
    <w:p w14:paraId="595806AC">
      <w:pPr>
        <w:spacing w:after="156" w:afterLines="50" w:line="560" w:lineRule="exact"/>
        <w:ind w:firstLine="880"/>
        <w:jc w:val="center"/>
        <w:rPr>
          <w:rFonts w:ascii="Times New Roman" w:hAnsi="Times New Roman" w:eastAsia="方正小标宋简体"/>
          <w:sz w:val="44"/>
          <w:szCs w:val="44"/>
        </w:rPr>
      </w:pPr>
      <w:r>
        <w:rPr>
          <w:rFonts w:hint="eastAsia" w:ascii="Times New Roman" w:hAnsi="Times New Roman" w:eastAsia="方正小标宋简体"/>
          <w:sz w:val="44"/>
          <w:szCs w:val="44"/>
        </w:rPr>
        <w:t>指标参考样例</w:t>
      </w:r>
    </w:p>
    <w:p w14:paraId="2104E94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bCs/>
          <w:sz w:val="32"/>
          <w:szCs w:val="32"/>
        </w:rPr>
        <w:t>一、说明</w:t>
      </w:r>
    </w:p>
    <w:p w14:paraId="5476E944">
      <w:pPr>
        <w:spacing w:line="56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Times New Roman"/>
          <w:sz w:val="32"/>
          <w:szCs w:val="32"/>
        </w:rPr>
        <w:t>本样例根据《运输机场运行安全管理规定》《民用航空安全信息管理规定》《事件样例》等相关规定制定，列举了《运输机场运行安全保障能力综合评估管理办法》中事件的部分示例，实际应用中不限于本样例所列举的情形。</w:t>
      </w:r>
    </w:p>
    <w:p w14:paraId="70DFBBAE">
      <w:pPr>
        <w:spacing w:line="56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rPr>
        <w:t>二、评估指标样例示例</w:t>
      </w:r>
    </w:p>
    <w:p w14:paraId="522FE43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1.民用航空器事故</w:t>
      </w:r>
    </w:p>
    <w:p w14:paraId="1253024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样例1：因</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主责导致的在活动区内发生的与航空器有关的人员重伤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死亡，或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航空器严重损坏的。</w:t>
      </w:r>
    </w:p>
    <w:p w14:paraId="158C022B">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2.严重净空管理事件</w:t>
      </w:r>
    </w:p>
    <w:p w14:paraId="373BD5F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样例1：机场障碍物限制面范围内，新增超出障碍物限制面的建筑物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广告牌、电视塔、烟塔等永久性构筑物，且在一个评估周期内未整改完成的。（适用于判定标准1）</w:t>
      </w:r>
    </w:p>
    <w:p w14:paraId="719226A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样例2：机场障碍物限制面范围外，机场基准点55公里范围内，新增对空中航行有危险的建筑物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广告牌、电视塔、烟塔等永久性构筑物，经评估对机场正常运行造成影响，且在一个评估周期内未整改完成的。（适用于判定标准1）</w:t>
      </w:r>
    </w:p>
    <w:p w14:paraId="7418971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样例3：机场障碍物限制面中无障碍物面范围内，新增超出障碍物限制面无障碍物面的建筑物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广告牌、电视塔、烟塔等永久性构筑物，且在一个评估周期内未整改完成的。（适用于判定标准2）</w:t>
      </w:r>
    </w:p>
    <w:p w14:paraId="3EA1D5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样例4：机场障碍物限制面中无障碍物面范围外，障碍物评估面范围内，新增对空中航行有危险的建筑物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广告牌、电视塔、烟塔等永久性构筑物，经评估对机场正常运行造成影响，且在一个评估周期内未整改完成的。（适用于判定标准2）</w:t>
      </w:r>
    </w:p>
    <w:p w14:paraId="4AA4B5D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kern w:val="0"/>
          <w:sz w:val="32"/>
          <w:szCs w:val="32"/>
        </w:rPr>
        <w:t>人员或者车辆</w:t>
      </w:r>
      <w:r>
        <w:rPr>
          <w:rFonts w:hint="eastAsia" w:ascii="仿宋_GB2312" w:hAnsi="仿宋_GB2312" w:eastAsia="仿宋_GB2312" w:cs="仿宋_GB2312"/>
          <w:b/>
          <w:bCs/>
          <w:sz w:val="32"/>
          <w:szCs w:val="32"/>
        </w:rPr>
        <w:t>跑道侵入征候</w:t>
      </w:r>
    </w:p>
    <w:p w14:paraId="2BE0E65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的车辆或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人员，未经允许进入用于航空器着陆和起飞的地面保护区，造成A、B类跑道侵入的。</w:t>
      </w:r>
    </w:p>
    <w:p w14:paraId="6DF1DE1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w:t>
      </w:r>
      <w:r>
        <w:rPr>
          <w:rFonts w:hint="eastAsia" w:ascii="仿宋_GB2312" w:hAnsi="仿宋_GB2312" w:eastAsia="仿宋_GB2312" w:cs="仿宋_GB2312"/>
          <w:sz w:val="32"/>
          <w:szCs w:val="32"/>
          <w:lang w:eastAsia="zh-CN"/>
        </w:rPr>
        <w:t>机场运营人</w:t>
      </w:r>
      <w:r>
        <w:rPr>
          <w:rFonts w:hint="eastAsia" w:ascii="仿宋_GB2312" w:hAnsi="仿宋_GB2312" w:eastAsia="仿宋_GB2312" w:cs="仿宋_GB2312"/>
          <w:sz w:val="32"/>
          <w:szCs w:val="32"/>
        </w:rPr>
        <w:t>的外包方的车辆或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人员，未经允许进入用于航空器着陆和起飞的地面保护区，造成A、B类跑道侵入的。</w:t>
      </w:r>
    </w:p>
    <w:p w14:paraId="2ADFABF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4.机场内鸟击严重征候</w:t>
      </w:r>
    </w:p>
    <w:p w14:paraId="730A0EF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样例1：航空器发生机场内鸟击，造成多于一台发动机同时停车或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航空器失速等。</w:t>
      </w:r>
    </w:p>
    <w:p w14:paraId="589FD156">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5.外来物损伤航空器严重征候</w:t>
      </w:r>
    </w:p>
    <w:p w14:paraId="711D39F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样例1：航空器在滑跑过程中遭受外来物击伤，造成多于一台发动机同时停车或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航空器失速等。</w:t>
      </w:r>
    </w:p>
    <w:p w14:paraId="72E1F890">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6.机场运行安全有关的严重失信行为</w:t>
      </w:r>
    </w:p>
    <w:p w14:paraId="62098ED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样例1：在机场运行安全管理方面故意违法，被</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处以3万元（含）以上罚款行政处罚的、处以吊销行政许可处罚的、处以责令停产停业行政处罚的或者处以撤销行政许可的。</w:t>
      </w:r>
    </w:p>
    <w:p w14:paraId="23B9C8E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样例2：在申请机场</w:t>
      </w:r>
      <w:r>
        <w:rPr>
          <w:rFonts w:hint="eastAsia" w:ascii="仿宋_GB2312" w:hAnsi="仿宋_GB2312" w:eastAsia="仿宋_GB2312" w:cs="仿宋_GB2312"/>
          <w:sz w:val="32"/>
          <w:szCs w:val="32"/>
          <w:lang w:eastAsia="zh-CN"/>
        </w:rPr>
        <w:t>运营许可</w:t>
      </w:r>
      <w:r>
        <w:rPr>
          <w:rFonts w:hint="eastAsia" w:ascii="仿宋_GB2312" w:hAnsi="仿宋_GB2312" w:eastAsia="仿宋_GB2312" w:cs="仿宋_GB2312"/>
          <w:sz w:val="32"/>
          <w:szCs w:val="32"/>
        </w:rPr>
        <w:t>证或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接受</w:t>
      </w:r>
      <w:r>
        <w:rPr>
          <w:rFonts w:hint="eastAsia" w:ascii="仿宋_GB2312" w:hAnsi="仿宋_GB2312" w:eastAsia="仿宋_GB2312" w:cs="仿宋_GB2312"/>
          <w:sz w:val="32"/>
          <w:szCs w:val="32"/>
          <w:lang w:eastAsia="zh-CN"/>
        </w:rPr>
        <w:t>民航行政机关</w:t>
      </w:r>
      <w:r>
        <w:rPr>
          <w:rFonts w:hint="eastAsia" w:ascii="仿宋_GB2312" w:hAnsi="仿宋_GB2312" w:eastAsia="仿宋_GB2312" w:cs="仿宋_GB2312"/>
          <w:sz w:val="32"/>
          <w:szCs w:val="32"/>
        </w:rPr>
        <w:t>关于机场运行安全的检查、调查、评估等工作过程中，拒不提供相关材料，故意提供虚假材料、虚假承诺、虚假证言证词的。</w:t>
      </w:r>
    </w:p>
    <w:p w14:paraId="295D87AF">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7.跑道侵入事件</w:t>
      </w:r>
    </w:p>
    <w:p w14:paraId="042B13C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无样例，事件根据民航行政机关调查结果进行认定。</w:t>
      </w:r>
    </w:p>
    <w:p w14:paraId="03A26C8C">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8.应急救援与残损航空器搬移处置不当事件</w:t>
      </w:r>
    </w:p>
    <w:p w14:paraId="092AF3A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样例1：突发事件应急救援指令下达不及时，导致各救援单位的人员及车辆设备未及时按照应急救援预案执行的。</w:t>
      </w:r>
    </w:p>
    <w:p w14:paraId="4FD126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样例2：机场应急救援设备未有效保养、维护，导致应急救援处置不当事件发生。</w:t>
      </w:r>
    </w:p>
    <w:p w14:paraId="25CD52D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样例3：在最佳能见度和地面条件下，消防到达每条运行跑道的任一点以及航空器活动区任何</w:t>
      </w:r>
      <w:r>
        <w:rPr>
          <w:rFonts w:hint="eastAsia" w:ascii="仿宋_GB2312" w:hAnsi="仿宋_GB2312" w:eastAsia="仿宋_GB2312" w:cs="仿宋_GB2312"/>
          <w:sz w:val="32"/>
          <w:szCs w:val="32"/>
          <w:lang w:eastAsia="zh-CN"/>
        </w:rPr>
        <w:t>其他部分</w:t>
      </w:r>
      <w:r>
        <w:rPr>
          <w:rFonts w:hint="eastAsia" w:ascii="仿宋_GB2312" w:hAnsi="仿宋_GB2312" w:eastAsia="仿宋_GB2312" w:cs="仿宋_GB2312"/>
          <w:sz w:val="32"/>
          <w:szCs w:val="32"/>
        </w:rPr>
        <w:t>的响应时间超过3分钟。</w:t>
      </w:r>
    </w:p>
    <w:p w14:paraId="50EFD86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样例4：机场残损航空器搬移实际时长超</w:t>
      </w:r>
      <w:r>
        <w:rPr>
          <w:rFonts w:hint="eastAsia" w:ascii="仿宋_GB2312" w:hAnsi="仿宋_GB2312" w:eastAsia="仿宋_GB2312" w:cs="仿宋_GB2312"/>
          <w:sz w:val="32"/>
          <w:szCs w:val="32"/>
          <w:lang w:val="en-US" w:eastAsia="zh-CN"/>
        </w:rPr>
        <w:t>过</w:t>
      </w:r>
      <w:r>
        <w:rPr>
          <w:rFonts w:hint="eastAsia" w:ascii="仿宋_GB2312" w:hAnsi="仿宋_GB2312" w:eastAsia="仿宋_GB2312" w:cs="仿宋_GB2312"/>
          <w:sz w:val="32"/>
          <w:szCs w:val="32"/>
        </w:rPr>
        <w:t>《运输机场残损航空器搬移管理办法》建议搬移时长</w:t>
      </w:r>
      <w:r>
        <w:rPr>
          <w:rFonts w:hint="eastAsia" w:ascii="仿宋_GB2312" w:hAnsi="仿宋_GB2312" w:eastAsia="仿宋_GB2312" w:cs="仿宋_GB2312"/>
          <w:sz w:val="32"/>
          <w:szCs w:val="32"/>
          <w:lang w:val="en-US" w:eastAsia="zh-CN"/>
        </w:rPr>
        <w:t>的3倍</w:t>
      </w:r>
      <w:r>
        <w:rPr>
          <w:rFonts w:hint="eastAsia" w:ascii="仿宋_GB2312" w:hAnsi="仿宋_GB2312" w:eastAsia="仿宋_GB2312" w:cs="仿宋_GB2312"/>
          <w:sz w:val="32"/>
          <w:szCs w:val="32"/>
        </w:rPr>
        <w:t>。</w:t>
      </w:r>
    </w:p>
    <w:p w14:paraId="1C4E8AAB">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9.不停航施工事件</w:t>
      </w:r>
    </w:p>
    <w:p w14:paraId="0C2A77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样例1：属于不停航施工项目但未报批或者申报未批准就开始施工。</w:t>
      </w:r>
    </w:p>
    <w:p w14:paraId="1DE70CA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样例2：未按照不停航施工方案开展施工。</w:t>
      </w:r>
    </w:p>
    <w:p w14:paraId="5424DDCC">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10.未按规定进入活动区事件</w:t>
      </w:r>
    </w:p>
    <w:p w14:paraId="7F32D48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样例1：人员或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车辆未经许可进入活动区，影响航空器安全运行（不含跑道侵入）。</w:t>
      </w:r>
    </w:p>
    <w:p w14:paraId="51E3B2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样例2：无内场驾驶证人员驾驶车辆进入活动区，影响航空器安全运行（不含跑道侵入）。</w:t>
      </w:r>
    </w:p>
    <w:p w14:paraId="79DEDB9E">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11.一般净空管理事件</w:t>
      </w:r>
    </w:p>
    <w:p w14:paraId="759C26D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样例1：机场障碍物限制面范围内，新增超出障碍物限制面的建筑物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广告牌、电视塔、烟塔等永久性构筑物，且在一个评估周期内整改完成的。（适用于判定标准1）</w:t>
      </w:r>
    </w:p>
    <w:p w14:paraId="028C173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样例2：机场障碍物限制面范围外，基准点55公里范围内，新增对空中航行有危险的建筑物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广告牌、电视塔、烟塔等永久性构筑物，经评估对机场正常运行造成影响，且在一个评估周期内整改完成的。（适用于判定标准1）</w:t>
      </w:r>
    </w:p>
    <w:p w14:paraId="5362BF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样例3：机场障碍物限制面范围内，新增超出障碍物限制面的塔吊、强夯机、通讯铁塔、吊车等临时性超高障碍物，经评估对机场正常运行造成影响。（适用于判定标准1）</w:t>
      </w:r>
    </w:p>
    <w:p w14:paraId="0E5729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样例4：机场障碍物限制面范围外，基准点55公里范围内，新增对空中航行有危险的塔吊、强夯机、通讯铁塔、吊车等临时性超高障碍物，经评估对机场正常运行造成影响。（适用于判定标准1）</w:t>
      </w:r>
    </w:p>
    <w:p w14:paraId="2047C91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样例5：机场障碍物限制面中无障碍物面范围内，新增超出障碍物限制面无障碍物面的建筑物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广告牌、电视塔、烟塔等永久性构筑物，且在一个评估周期内整改完成的。（适用于判定标准2）</w:t>
      </w:r>
    </w:p>
    <w:p w14:paraId="09519E2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样例6：机场障碍物限制面中无障碍物面范围外，障碍物评估面范围内，新增对空中航行有危险的建筑物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广告牌、电视塔、烟塔等永久性构筑物，经评估对机场正常运行造成影响，且在一个评估周期内整改完成的。（适用于判定标准2）</w:t>
      </w:r>
    </w:p>
    <w:p w14:paraId="05890F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样例7：机场障碍物限制面中无障碍物面范围内，新增超出障碍物限制面无障碍物面的塔吊、强夯机、通讯铁塔、吊车等临时性超高障碍物，经评估对机场正常运行造成影响。（适用于判定标准2）</w:t>
      </w:r>
    </w:p>
    <w:p w14:paraId="2AB3871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样例8：机场障碍物限制面中无障碍物面范围外，障碍物评估面范围内，新增对空中航行有危险的塔吊、强夯机、通讯铁塔、吊车等临时性超高障碍物，经评估对机场正常运行造成影响。（适用于判定标准2）</w:t>
      </w:r>
    </w:p>
    <w:p w14:paraId="2BF4EB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样例9：发现无人机后，</w:t>
      </w:r>
      <w:r>
        <w:rPr>
          <w:rFonts w:hint="eastAsia" w:ascii="仿宋_GB2312" w:hAnsi="仿宋_GB2312" w:eastAsia="仿宋_GB2312" w:cs="仿宋_GB2312"/>
          <w:sz w:val="32"/>
          <w:szCs w:val="32"/>
          <w:lang w:val="en-US" w:eastAsia="zh-CN"/>
        </w:rPr>
        <w:t>经事件调查，认定</w:t>
      </w:r>
      <w:r>
        <w:rPr>
          <w:rFonts w:hint="eastAsia" w:ascii="仿宋_GB2312" w:hAnsi="仿宋_GB2312" w:eastAsia="仿宋_GB2312" w:cs="仿宋_GB2312"/>
          <w:sz w:val="32"/>
          <w:szCs w:val="32"/>
        </w:rPr>
        <w:t>机场</w:t>
      </w:r>
      <w:r>
        <w:rPr>
          <w:rFonts w:hint="eastAsia" w:ascii="仿宋_GB2312" w:hAnsi="仿宋_GB2312" w:eastAsia="仿宋_GB2312" w:cs="仿宋_GB2312"/>
          <w:sz w:val="32"/>
          <w:szCs w:val="32"/>
          <w:lang w:val="en-US" w:eastAsia="zh-CN"/>
        </w:rPr>
        <w:t>存在</w:t>
      </w:r>
      <w:r>
        <w:rPr>
          <w:rFonts w:hint="eastAsia" w:ascii="仿宋_GB2312" w:hAnsi="仿宋_GB2312" w:eastAsia="仿宋_GB2312" w:cs="仿宋_GB2312"/>
          <w:sz w:val="32"/>
          <w:szCs w:val="32"/>
        </w:rPr>
        <w:t>未按有关</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处置或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处置不当的。</w:t>
      </w:r>
    </w:p>
    <w:p w14:paraId="40E296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样例10：飞机降落阶段机组报告在下滑通道发现空飘物且影响航空器运行。造成多个航班中断起飞、空中等待、终止进近、复飞、备降等。</w:t>
      </w:r>
    </w:p>
    <w:p w14:paraId="4FB4FC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样例11：机场塔台接到机组报告，跑道和滑行道附近有空飘物，机场未按有关规定处置或者处置不当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造成跑道暂停起降、航班中断起飞或者复飞。</w:t>
      </w:r>
    </w:p>
    <w:p w14:paraId="6D4A7D3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12.航空器刮碰事件</w:t>
      </w:r>
    </w:p>
    <w:p w14:paraId="5DB1F9A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样例1：在活动区内航空器与航空器发生碰撞。</w:t>
      </w:r>
    </w:p>
    <w:p w14:paraId="0FC3335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样例2：在活动区内航空器与廊桥、工作梯、照明灯杆等设施设备发生碰撞。</w:t>
      </w:r>
    </w:p>
    <w:p w14:paraId="2C14C2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样例3：在活动区内航空器与各类保障车辆或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人员发生碰撞。</w:t>
      </w:r>
    </w:p>
    <w:p w14:paraId="54E50BCD">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13.鸟击事件</w:t>
      </w:r>
    </w:p>
    <w:p w14:paraId="4DE6E3C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样例1：航空器在机场内遭鸟击，留下血迹、羽毛、皮肤、肌肉或者肢体等残留物，且导致航空器受损。</w:t>
      </w:r>
    </w:p>
    <w:p w14:paraId="638D2E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样例2：航空器在</w:t>
      </w:r>
      <w:r>
        <w:rPr>
          <w:rFonts w:hint="eastAsia" w:ascii="仿宋_GB2312" w:hAnsi="仿宋_GB2312" w:eastAsia="仿宋_GB2312" w:cs="仿宋_GB2312"/>
          <w:sz w:val="32"/>
          <w:szCs w:val="32"/>
          <w:lang w:val="en-US" w:eastAsia="zh-CN"/>
        </w:rPr>
        <w:t>机场</w:t>
      </w:r>
      <w:r>
        <w:rPr>
          <w:rFonts w:hint="eastAsia" w:ascii="仿宋_GB2312" w:hAnsi="仿宋_GB2312" w:eastAsia="仿宋_GB2312" w:cs="仿宋_GB2312"/>
          <w:sz w:val="32"/>
          <w:szCs w:val="32"/>
        </w:rPr>
        <w:t>邻近区</w:t>
      </w:r>
      <w:r>
        <w:rPr>
          <w:rFonts w:hint="eastAsia" w:ascii="仿宋_GB2312" w:hAnsi="仿宋_GB2312" w:eastAsia="仿宋_GB2312" w:cs="仿宋_GB2312"/>
          <w:sz w:val="32"/>
          <w:szCs w:val="32"/>
          <w:lang w:val="en-US" w:eastAsia="zh-CN"/>
        </w:rPr>
        <w:t>域</w:t>
      </w:r>
      <w:r>
        <w:rPr>
          <w:rFonts w:hint="eastAsia" w:ascii="仿宋_GB2312" w:hAnsi="仿宋_GB2312" w:eastAsia="仿宋_GB2312" w:cs="仿宋_GB2312"/>
          <w:sz w:val="32"/>
          <w:szCs w:val="32"/>
        </w:rPr>
        <w:t>遭鸟击，留下血迹、羽毛、皮肤、肌肉或者肢体等残留物，且导致航空器损伤。</w:t>
      </w:r>
    </w:p>
    <w:p w14:paraId="68F4CB91">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14.外来物损伤航空器事件</w:t>
      </w:r>
    </w:p>
    <w:p w14:paraId="1232691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样例1：发动机吸入外来物构成航空器损伤的。</w:t>
      </w:r>
    </w:p>
    <w:p w14:paraId="71995F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样例2：航空器轮胎扎破处遗留外来物。</w:t>
      </w:r>
    </w:p>
    <w:p w14:paraId="6746B33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样例3：其他符合外来物损伤航空器事件判定标准的。</w:t>
      </w:r>
    </w:p>
    <w:p w14:paraId="61849C9E">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助航灯光</w:t>
      </w:r>
      <w:r>
        <w:rPr>
          <w:rFonts w:hint="eastAsia" w:ascii="仿宋_GB2312" w:hAnsi="仿宋_GB2312" w:eastAsia="仿宋_GB2312" w:cs="仿宋_GB2312"/>
          <w:b/>
          <w:bCs/>
          <w:sz w:val="32"/>
          <w:szCs w:val="32"/>
        </w:rPr>
        <w:t>故障</w:t>
      </w:r>
    </w:p>
    <w:p w14:paraId="37794D1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样例1：机场助航灯光不能按照要求开启</w:t>
      </w:r>
      <w:r>
        <w:rPr>
          <w:rFonts w:hint="eastAsia" w:ascii="仿宋_GB2312" w:hAnsi="仿宋_GB2312" w:eastAsia="仿宋_GB2312" w:cs="仿宋_GB2312"/>
          <w:sz w:val="32"/>
          <w:szCs w:val="32"/>
          <w:lang w:val="en-US" w:eastAsia="zh-CN"/>
        </w:rPr>
        <w:t>及供电中断、施工或维护期间挖断电缆</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突发故障熄灭（含不停航施工管理不到位引起的故障）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导致部分助航灯光失效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影响航空器安全运行。</w:t>
      </w:r>
    </w:p>
    <w:p w14:paraId="24B1F9BF">
      <w:pPr>
        <w:spacing w:line="560" w:lineRule="exact"/>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1</w:t>
      </w:r>
      <w:r>
        <w:rPr>
          <w:rFonts w:hint="eastAsia" w:ascii="仿宋_GB2312" w:hAnsi="仿宋_GB2312" w:eastAsia="仿宋_GB2312" w:cs="仿宋_GB2312"/>
          <w:b/>
          <w:bCs/>
          <w:sz w:val="32"/>
          <w:szCs w:val="32"/>
          <w:highlight w:val="none"/>
          <w:lang w:val="en-US" w:eastAsia="zh-CN"/>
        </w:rPr>
        <w:t>6</w:t>
      </w:r>
      <w:r>
        <w:rPr>
          <w:rFonts w:hint="eastAsia" w:ascii="仿宋_GB2312" w:hAnsi="仿宋_GB2312" w:eastAsia="仿宋_GB2312" w:cs="仿宋_GB2312"/>
          <w:b/>
          <w:bCs/>
          <w:sz w:val="32"/>
          <w:szCs w:val="32"/>
          <w:highlight w:val="none"/>
        </w:rPr>
        <w:t>.动物侵入活动区事件</w:t>
      </w:r>
    </w:p>
    <w:p w14:paraId="5AC6EC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样例1：在</w:t>
      </w:r>
      <w:r>
        <w:rPr>
          <w:rFonts w:hint="eastAsia" w:ascii="仿宋_GB2312" w:hAnsi="仿宋_GB2312" w:eastAsia="仿宋_GB2312" w:cs="仿宋_GB2312"/>
          <w:sz w:val="32"/>
          <w:szCs w:val="32"/>
          <w:lang w:val="en-US" w:eastAsia="zh-CN"/>
        </w:rPr>
        <w:t>跑道上</w:t>
      </w:r>
      <w:r>
        <w:rPr>
          <w:rFonts w:hint="eastAsia" w:ascii="仿宋_GB2312" w:hAnsi="仿宋_GB2312" w:eastAsia="仿宋_GB2312" w:cs="仿宋_GB2312"/>
          <w:sz w:val="32"/>
          <w:szCs w:val="32"/>
        </w:rPr>
        <w:t>发现流浪狗等动物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导致航班中断起飞</w:t>
      </w:r>
      <w:r>
        <w:rPr>
          <w:rFonts w:hint="eastAsia" w:ascii="仿宋_GB2312" w:hAnsi="仿宋_GB2312" w:eastAsia="仿宋_GB2312" w:cs="仿宋_GB2312"/>
          <w:sz w:val="32"/>
          <w:szCs w:val="32"/>
        </w:rPr>
        <w:t>。</w:t>
      </w:r>
    </w:p>
    <w:p w14:paraId="1C775B3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样例2：托运的动物逃离托运箱进入活动区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未影响航空器运行</w:t>
      </w:r>
      <w:r>
        <w:rPr>
          <w:rFonts w:hint="eastAsia" w:ascii="仿宋_GB2312" w:hAnsi="仿宋_GB2312" w:eastAsia="仿宋_GB2312" w:cs="仿宋_GB2312"/>
          <w:sz w:val="32"/>
          <w:szCs w:val="32"/>
        </w:rPr>
        <w:t>。</w:t>
      </w:r>
    </w:p>
    <w:p w14:paraId="29F28E7E">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.其他征候</w:t>
      </w:r>
    </w:p>
    <w:p w14:paraId="59513E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样例1：车辆、设备、设施起火、爆炸造成航空器受损，构成征候的。</w:t>
      </w:r>
    </w:p>
    <w:p w14:paraId="1CE6260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样例2：工作人员在值勤和服务过程中因责任原因损伤航空器，构成征候的。</w:t>
      </w:r>
    </w:p>
    <w:p w14:paraId="444E217A">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.其他一般事件</w:t>
      </w:r>
    </w:p>
    <w:p w14:paraId="046728F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样例1：跑道、滑行道或</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机坪道面破损、断裂、错台，导致道面临时关闭抢修，影响航空器正常运行事件。</w:t>
      </w:r>
    </w:p>
    <w:p w14:paraId="4760E9F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19</w:t>
      </w:r>
      <w:r>
        <w:rPr>
          <w:rFonts w:hint="eastAsia" w:ascii="仿宋_GB2312" w:hAnsi="仿宋_GB2312" w:eastAsia="仿宋_GB2312" w:cs="仿宋_GB2312"/>
          <w:b/>
          <w:bCs/>
          <w:sz w:val="32"/>
          <w:szCs w:val="32"/>
        </w:rPr>
        <w:t>.机场无正当理由不接收备降情况</w:t>
      </w:r>
    </w:p>
    <w:p w14:paraId="6BFC738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样例1：具备接收备降航班能力的机场没有提出正当理由而拒绝接收备降航班。</w:t>
      </w:r>
    </w:p>
    <w:p w14:paraId="2938B177">
      <w:pPr>
        <w:spacing w:line="560" w:lineRule="exact"/>
        <w:ind w:firstLine="640" w:firstLineChars="200"/>
        <w:rPr>
          <w:rFonts w:hint="eastAsia" w:ascii="仿宋_GB2312" w:hAnsi="仿宋_GB2312" w:eastAsia="仿宋_GB2312" w:cs="仿宋_GB2312"/>
          <w:sz w:val="32"/>
          <w:szCs w:val="32"/>
        </w:rPr>
        <w:sectPr>
          <w:pgSz w:w="11906" w:h="16838"/>
          <w:pgMar w:top="2098" w:right="1474" w:bottom="1984" w:left="1587" w:header="851" w:footer="992" w:gutter="0"/>
          <w:cols w:space="720" w:num="1"/>
          <w:docGrid w:type="lines" w:linePitch="312" w:charSpace="0"/>
        </w:sectPr>
      </w:pPr>
    </w:p>
    <w:p w14:paraId="3DC724E2">
      <w:pPr>
        <w:rPr>
          <w:rFonts w:ascii="黑体" w:hAnsi="黑体" w:eastAsia="黑体"/>
          <w:sz w:val="32"/>
          <w:szCs w:val="32"/>
          <w:lang w:bidi="ar"/>
        </w:rPr>
      </w:pPr>
      <w:r>
        <w:rPr>
          <w:rFonts w:hint="eastAsia" w:ascii="黑体" w:hAnsi="黑体" w:eastAsia="黑体"/>
          <w:sz w:val="32"/>
          <w:szCs w:val="32"/>
          <w:lang w:bidi="ar"/>
        </w:rPr>
        <w:t>附件四</w:t>
      </w:r>
    </w:p>
    <w:p w14:paraId="1BDED35C">
      <w:pPr>
        <w:ind w:firstLine="640"/>
        <w:jc w:val="center"/>
        <w:rPr>
          <w:rFonts w:ascii="黑体" w:hAnsi="黑体" w:eastAsia="黑体"/>
          <w:sz w:val="32"/>
          <w:szCs w:val="32"/>
          <w:lang w:bidi="ar"/>
        </w:rPr>
      </w:pPr>
      <w:r>
        <w:rPr>
          <w:rFonts w:hint="eastAsia" w:ascii="黑体" w:hAnsi="黑体" w:eastAsia="黑体"/>
          <w:sz w:val="32"/>
          <w:szCs w:val="32"/>
          <w:lang w:bidi="ar"/>
        </w:rPr>
        <w:t>X</w:t>
      </w:r>
      <w:r>
        <w:rPr>
          <w:rFonts w:ascii="黑体" w:hAnsi="黑体" w:eastAsia="黑体"/>
          <w:sz w:val="32"/>
          <w:szCs w:val="32"/>
          <w:lang w:bidi="ar"/>
        </w:rPr>
        <w:t>X</w:t>
      </w:r>
      <w:r>
        <w:rPr>
          <w:rFonts w:hint="eastAsia" w:ascii="黑体" w:hAnsi="黑体" w:eastAsia="黑体"/>
          <w:sz w:val="32"/>
          <w:szCs w:val="32"/>
          <w:lang w:bidi="ar"/>
        </w:rPr>
        <w:t>年度运输机场运行安全星级奖申报登记表</w:t>
      </w:r>
    </w:p>
    <w:tbl>
      <w:tblPr>
        <w:tblStyle w:val="24"/>
        <w:tblW w:w="912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2"/>
        <w:gridCol w:w="2256"/>
        <w:gridCol w:w="882"/>
        <w:gridCol w:w="1257"/>
        <w:gridCol w:w="125"/>
        <w:gridCol w:w="2015"/>
      </w:tblGrid>
      <w:tr w14:paraId="1B01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592" w:type="dxa"/>
            <w:vAlign w:val="center"/>
          </w:tcPr>
          <w:p w14:paraId="4E5F416B">
            <w:pPr>
              <w:jc w:val="center"/>
              <w:rPr>
                <w:rFonts w:ascii="仿宋" w:hAnsi="仿宋" w:eastAsia="仿宋" w:cs="仿宋"/>
                <w:sz w:val="24"/>
                <w:szCs w:val="24"/>
                <w:lang w:bidi="ar"/>
              </w:rPr>
            </w:pPr>
            <w:r>
              <w:rPr>
                <w:rFonts w:hint="eastAsia" w:ascii="仿宋_GB2312" w:hAnsi="仿宋_GB2312" w:eastAsia="仿宋_GB2312" w:cs="仿宋"/>
                <w:sz w:val="24"/>
                <w:szCs w:val="24"/>
                <w:lang w:bidi="ar"/>
              </w:rPr>
              <w:t>机场名称</w:t>
            </w:r>
          </w:p>
        </w:tc>
        <w:tc>
          <w:tcPr>
            <w:tcW w:w="6535" w:type="dxa"/>
            <w:gridSpan w:val="5"/>
          </w:tcPr>
          <w:p w14:paraId="375D8D46">
            <w:pPr>
              <w:jc w:val="center"/>
              <w:rPr>
                <w:rFonts w:ascii="仿宋" w:hAnsi="仿宋" w:eastAsia="仿宋" w:cs="仿宋"/>
                <w:sz w:val="24"/>
                <w:szCs w:val="24"/>
                <w:lang w:bidi="ar"/>
              </w:rPr>
            </w:pPr>
          </w:p>
        </w:tc>
      </w:tr>
      <w:tr w14:paraId="72F2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592" w:type="dxa"/>
            <w:vAlign w:val="center"/>
          </w:tcPr>
          <w:p w14:paraId="241A0EFC">
            <w:pPr>
              <w:jc w:val="center"/>
              <w:rPr>
                <w:rFonts w:hint="eastAsia" w:ascii="仿宋" w:hAnsi="仿宋" w:eastAsia="仿宋_GB2312" w:cs="仿宋"/>
                <w:sz w:val="24"/>
                <w:szCs w:val="24"/>
                <w:lang w:eastAsia="zh-CN" w:bidi="ar"/>
              </w:rPr>
            </w:pPr>
            <w:r>
              <w:rPr>
                <w:rFonts w:hint="eastAsia" w:ascii="仿宋_GB2312" w:hAnsi="仿宋_GB2312" w:eastAsia="仿宋_GB2312" w:cs="仿宋"/>
                <w:sz w:val="24"/>
                <w:szCs w:val="24"/>
                <w:lang w:eastAsia="zh-CN" w:bidi="ar"/>
              </w:rPr>
              <w:t>机场运营人</w:t>
            </w:r>
          </w:p>
        </w:tc>
        <w:tc>
          <w:tcPr>
            <w:tcW w:w="3138" w:type="dxa"/>
            <w:gridSpan w:val="2"/>
          </w:tcPr>
          <w:p w14:paraId="16BD9EDC">
            <w:pPr>
              <w:jc w:val="center"/>
              <w:rPr>
                <w:rFonts w:ascii="仿宋" w:hAnsi="仿宋" w:eastAsia="仿宋" w:cs="仿宋"/>
                <w:sz w:val="24"/>
                <w:szCs w:val="24"/>
                <w:lang w:bidi="ar"/>
              </w:rPr>
            </w:pPr>
          </w:p>
        </w:tc>
        <w:tc>
          <w:tcPr>
            <w:tcW w:w="1382" w:type="dxa"/>
            <w:gridSpan w:val="2"/>
          </w:tcPr>
          <w:p w14:paraId="03841213">
            <w:pPr>
              <w:jc w:val="center"/>
              <w:rPr>
                <w:rFonts w:ascii="仿宋" w:hAnsi="仿宋" w:eastAsia="仿宋" w:cs="仿宋"/>
                <w:sz w:val="24"/>
                <w:szCs w:val="24"/>
                <w:lang w:bidi="ar"/>
              </w:rPr>
            </w:pPr>
            <w:r>
              <w:rPr>
                <w:rFonts w:hint="eastAsia" w:ascii="仿宋_GB2312" w:hAnsi="仿宋_GB2312" w:eastAsia="仿宋_GB2312" w:cs="仿宋"/>
                <w:sz w:val="24"/>
                <w:szCs w:val="24"/>
                <w:lang w:eastAsia="zh-CN" w:bidi="ar"/>
              </w:rPr>
              <w:t>运营许可</w:t>
            </w:r>
            <w:r>
              <w:rPr>
                <w:rFonts w:hint="eastAsia" w:ascii="仿宋_GB2312" w:hAnsi="仿宋_GB2312" w:eastAsia="仿宋_GB2312" w:cs="仿宋"/>
                <w:sz w:val="24"/>
                <w:szCs w:val="24"/>
                <w:lang w:bidi="ar"/>
              </w:rPr>
              <w:t>证编号</w:t>
            </w:r>
          </w:p>
        </w:tc>
        <w:tc>
          <w:tcPr>
            <w:tcW w:w="2015" w:type="dxa"/>
          </w:tcPr>
          <w:p w14:paraId="7CB6268F">
            <w:pPr>
              <w:jc w:val="center"/>
              <w:rPr>
                <w:rFonts w:ascii="仿宋" w:hAnsi="仿宋" w:eastAsia="仿宋" w:cs="仿宋"/>
                <w:sz w:val="24"/>
                <w:szCs w:val="24"/>
                <w:lang w:bidi="ar"/>
              </w:rPr>
            </w:pPr>
          </w:p>
        </w:tc>
      </w:tr>
      <w:tr w14:paraId="3CE3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92" w:type="dxa"/>
            <w:vAlign w:val="center"/>
          </w:tcPr>
          <w:p w14:paraId="521A1491">
            <w:pPr>
              <w:jc w:val="center"/>
              <w:rPr>
                <w:rFonts w:ascii="仿宋" w:hAnsi="仿宋" w:eastAsia="仿宋" w:cs="仿宋"/>
                <w:sz w:val="24"/>
                <w:szCs w:val="24"/>
                <w:lang w:bidi="ar"/>
              </w:rPr>
            </w:pPr>
            <w:r>
              <w:rPr>
                <w:rFonts w:hint="eastAsia" w:ascii="仿宋_GB2312" w:hAnsi="仿宋_GB2312" w:eastAsia="仿宋_GB2312" w:cs="仿宋"/>
                <w:sz w:val="24"/>
                <w:szCs w:val="24"/>
                <w:lang w:bidi="ar"/>
              </w:rPr>
              <w:t>机场类别</w:t>
            </w:r>
          </w:p>
        </w:tc>
        <w:tc>
          <w:tcPr>
            <w:tcW w:w="6535" w:type="dxa"/>
            <w:gridSpan w:val="5"/>
            <w:vAlign w:val="center"/>
          </w:tcPr>
          <w:p w14:paraId="4D93DF1C">
            <w:pPr>
              <w:jc w:val="left"/>
              <w:rPr>
                <w:rFonts w:ascii="仿宋" w:hAnsi="仿宋" w:eastAsia="仿宋" w:cs="仿宋"/>
                <w:sz w:val="24"/>
                <w:szCs w:val="24"/>
                <w:lang w:bidi="ar"/>
              </w:rPr>
            </w:pPr>
            <w:r>
              <w:rPr>
                <w:rFonts w:hint="eastAsia" w:ascii="仿宋_GB2312" w:hAnsi="仿宋_GB2312" w:eastAsia="仿宋_GB2312" w:cs="仿宋"/>
                <w:sz w:val="24"/>
                <w:szCs w:val="24"/>
                <w:lang w:bidi="ar"/>
              </w:rPr>
              <w:t>□</w:t>
            </w:r>
            <w:r>
              <w:rPr>
                <w:rFonts w:ascii="仿宋_GB2312" w:hAnsi="仿宋_GB2312" w:eastAsia="仿宋_GB2312" w:cs="仿宋"/>
                <w:sz w:val="24"/>
                <w:szCs w:val="24"/>
                <w:lang w:bidi="ar"/>
              </w:rPr>
              <w:t>A类</w:t>
            </w:r>
            <w:r>
              <w:rPr>
                <w:rFonts w:ascii="仿宋_GB2312" w:hAnsi="仿宋_GB2312" w:eastAsia="仿宋_GB2312" w:cs="仿宋"/>
                <w:sz w:val="28"/>
                <w:szCs w:val="28"/>
                <w:lang w:bidi="ar"/>
              </w:rPr>
              <w:t xml:space="preserve"> </w:t>
            </w:r>
            <w:r>
              <w:rPr>
                <w:rFonts w:hint="eastAsia" w:ascii="仿宋_GB2312" w:hAnsi="仿宋_GB2312" w:eastAsia="仿宋_GB2312" w:cs="仿宋"/>
                <w:sz w:val="28"/>
                <w:szCs w:val="28"/>
                <w:lang w:val="en-US" w:eastAsia="zh-CN" w:bidi="ar"/>
              </w:rPr>
              <w:t xml:space="preserve">   </w:t>
            </w:r>
            <w:r>
              <w:rPr>
                <w:rFonts w:hint="eastAsia" w:ascii="仿宋_GB2312" w:hAnsi="仿宋_GB2312" w:eastAsia="仿宋_GB2312" w:cs="仿宋"/>
                <w:sz w:val="24"/>
                <w:szCs w:val="24"/>
                <w:lang w:eastAsia="zh-CN" w:bidi="ar"/>
              </w:rPr>
              <w:t>□</w:t>
            </w:r>
            <w:r>
              <w:rPr>
                <w:rFonts w:ascii="仿宋_GB2312" w:hAnsi="仿宋_GB2312" w:eastAsia="仿宋_GB2312" w:cs="仿宋"/>
                <w:sz w:val="24"/>
                <w:szCs w:val="24"/>
                <w:lang w:bidi="ar"/>
              </w:rPr>
              <w:t>B类</w:t>
            </w:r>
            <w:r>
              <w:rPr>
                <w:rFonts w:hint="eastAsia" w:ascii="仿宋_GB2312" w:hAnsi="仿宋_GB2312" w:eastAsia="仿宋_GB2312" w:cs="仿宋"/>
                <w:sz w:val="28"/>
                <w:szCs w:val="28"/>
                <w:lang w:val="en-US" w:eastAsia="zh-CN" w:bidi="ar"/>
              </w:rPr>
              <w:t xml:space="preserve">  </w:t>
            </w:r>
            <w:r>
              <w:rPr>
                <w:rFonts w:hint="eastAsia" w:ascii="仿宋_GB2312" w:hAnsi="仿宋_GB2312" w:eastAsia="仿宋_GB2312" w:cs="仿宋"/>
                <w:sz w:val="22"/>
                <w:szCs w:val="22"/>
                <w:lang w:val="en-US" w:eastAsia="zh-CN" w:bidi="ar"/>
              </w:rPr>
              <w:t xml:space="preserve"> </w:t>
            </w:r>
            <w:r>
              <w:rPr>
                <w:rFonts w:hint="eastAsia" w:ascii="仿宋_GB2312" w:hAnsi="仿宋_GB2312" w:eastAsia="仿宋_GB2312" w:cs="仿宋"/>
                <w:sz w:val="28"/>
                <w:szCs w:val="28"/>
                <w:lang w:val="en-US" w:eastAsia="zh-CN" w:bidi="ar"/>
              </w:rPr>
              <w:t xml:space="preserve"> </w:t>
            </w:r>
            <w:r>
              <w:rPr>
                <w:rFonts w:ascii="仿宋_GB2312" w:hAnsi="仿宋_GB2312" w:eastAsia="仿宋_GB2312" w:cs="仿宋"/>
                <w:sz w:val="24"/>
                <w:szCs w:val="24"/>
                <w:lang w:bidi="ar"/>
              </w:rPr>
              <w:t>□C类</w:t>
            </w:r>
            <w:r>
              <w:rPr>
                <w:rFonts w:hint="eastAsia" w:ascii="仿宋_GB2312" w:hAnsi="仿宋_GB2312" w:eastAsia="仿宋_GB2312" w:cs="仿宋"/>
                <w:sz w:val="28"/>
                <w:szCs w:val="28"/>
                <w:lang w:val="en-US" w:eastAsia="zh-CN" w:bidi="ar"/>
              </w:rPr>
              <w:t xml:space="preserve"> </w:t>
            </w:r>
            <w:r>
              <w:rPr>
                <w:rFonts w:hint="eastAsia" w:ascii="仿宋_GB2312" w:hAnsi="仿宋_GB2312" w:eastAsia="仿宋_GB2312" w:cs="仿宋"/>
                <w:sz w:val="24"/>
                <w:szCs w:val="24"/>
                <w:lang w:val="en-US" w:eastAsia="zh-CN" w:bidi="ar"/>
              </w:rPr>
              <w:t xml:space="preserve"> </w:t>
            </w:r>
            <w:r>
              <w:rPr>
                <w:rFonts w:hint="eastAsia" w:ascii="仿宋_GB2312" w:hAnsi="仿宋_GB2312" w:eastAsia="仿宋_GB2312" w:cs="仿宋"/>
                <w:sz w:val="28"/>
                <w:szCs w:val="28"/>
                <w:lang w:val="en-US" w:eastAsia="zh-CN" w:bidi="ar"/>
              </w:rPr>
              <w:t xml:space="preserve"> </w:t>
            </w:r>
            <w:r>
              <w:rPr>
                <w:rFonts w:ascii="仿宋_GB2312" w:hAnsi="仿宋_GB2312" w:eastAsia="仿宋_GB2312" w:cs="仿宋"/>
                <w:sz w:val="28"/>
                <w:szCs w:val="28"/>
                <w:lang w:bidi="ar"/>
              </w:rPr>
              <w:t xml:space="preserve"> </w:t>
            </w:r>
            <w:r>
              <w:rPr>
                <w:rFonts w:hint="eastAsia" w:ascii="仿宋_GB2312" w:hAnsi="仿宋_GB2312" w:eastAsia="仿宋_GB2312" w:cs="仿宋"/>
                <w:sz w:val="24"/>
                <w:szCs w:val="24"/>
                <w:lang w:eastAsia="zh-CN" w:bidi="ar"/>
              </w:rPr>
              <w:t>□</w:t>
            </w:r>
            <w:r>
              <w:rPr>
                <w:rFonts w:ascii="仿宋_GB2312" w:hAnsi="仿宋_GB2312" w:eastAsia="仿宋_GB2312" w:cs="仿宋"/>
                <w:sz w:val="24"/>
                <w:szCs w:val="24"/>
                <w:lang w:bidi="ar"/>
              </w:rPr>
              <w:t>D类</w:t>
            </w:r>
            <w:r>
              <w:rPr>
                <w:rFonts w:hint="eastAsia" w:ascii="仿宋_GB2312" w:hAnsi="仿宋_GB2312" w:eastAsia="仿宋_GB2312" w:cs="仿宋"/>
                <w:sz w:val="28"/>
                <w:szCs w:val="28"/>
                <w:lang w:val="en-US" w:eastAsia="zh-CN" w:bidi="ar"/>
              </w:rPr>
              <w:t xml:space="preserve">   </w:t>
            </w:r>
            <w:r>
              <w:rPr>
                <w:rFonts w:ascii="仿宋_GB2312" w:hAnsi="仿宋_GB2312" w:eastAsia="仿宋_GB2312" w:cs="仿宋"/>
                <w:sz w:val="28"/>
                <w:szCs w:val="28"/>
                <w:lang w:bidi="ar"/>
              </w:rPr>
              <w:t xml:space="preserve"> </w:t>
            </w:r>
            <w:r>
              <w:rPr>
                <w:rFonts w:hint="eastAsia" w:ascii="仿宋_GB2312" w:hAnsi="仿宋_GB2312" w:eastAsia="仿宋_GB2312" w:cs="仿宋"/>
                <w:sz w:val="24"/>
                <w:szCs w:val="24"/>
                <w:lang w:bidi="ar"/>
              </w:rPr>
              <w:t>□</w:t>
            </w:r>
            <w:r>
              <w:rPr>
                <w:rFonts w:hint="eastAsia" w:ascii="仿宋_GB2312" w:hAnsi="仿宋_GB2312" w:eastAsia="仿宋_GB2312" w:cs="仿宋"/>
                <w:sz w:val="24"/>
                <w:szCs w:val="24"/>
                <w:lang w:val="en-US" w:eastAsia="zh-CN" w:bidi="ar"/>
              </w:rPr>
              <w:t>E</w:t>
            </w:r>
            <w:r>
              <w:rPr>
                <w:rFonts w:ascii="仿宋_GB2312" w:hAnsi="仿宋_GB2312" w:eastAsia="仿宋_GB2312" w:cs="仿宋"/>
                <w:sz w:val="24"/>
                <w:szCs w:val="24"/>
                <w:lang w:bidi="ar"/>
              </w:rPr>
              <w:t>类</w:t>
            </w:r>
          </w:p>
        </w:tc>
      </w:tr>
      <w:tr w14:paraId="6BEF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592" w:type="dxa"/>
            <w:vAlign w:val="center"/>
          </w:tcPr>
          <w:p w14:paraId="6C7366E4">
            <w:pPr>
              <w:rPr>
                <w:rFonts w:ascii="仿宋" w:hAnsi="仿宋" w:eastAsia="仿宋" w:cs="仿宋"/>
                <w:sz w:val="24"/>
                <w:szCs w:val="24"/>
                <w:lang w:bidi="ar"/>
              </w:rPr>
            </w:pPr>
            <w:r>
              <w:rPr>
                <w:rFonts w:hint="eastAsia" w:ascii="仿宋_GB2312" w:hAnsi="仿宋_GB2312" w:eastAsia="仿宋_GB2312" w:cs="仿宋"/>
                <w:sz w:val="24"/>
                <w:szCs w:val="24"/>
                <w:lang w:bidi="ar"/>
              </w:rPr>
              <w:t>当前运行安全星级</w:t>
            </w:r>
          </w:p>
        </w:tc>
        <w:tc>
          <w:tcPr>
            <w:tcW w:w="6535" w:type="dxa"/>
            <w:gridSpan w:val="5"/>
            <w:vAlign w:val="center"/>
          </w:tcPr>
          <w:p w14:paraId="223F2806">
            <w:pPr>
              <w:jc w:val="left"/>
              <w:rPr>
                <w:rFonts w:ascii="仿宋" w:hAnsi="仿宋" w:eastAsia="仿宋" w:cs="仿宋"/>
                <w:sz w:val="24"/>
                <w:szCs w:val="24"/>
                <w:lang w:bidi="ar"/>
              </w:rPr>
            </w:pPr>
            <w:r>
              <w:rPr>
                <w:rFonts w:hint="eastAsia" w:ascii="仿宋_GB2312" w:hAnsi="仿宋_GB2312" w:eastAsia="仿宋_GB2312" w:cs="仿宋"/>
                <w:sz w:val="24"/>
                <w:szCs w:val="24"/>
                <w:lang w:bidi="ar"/>
              </w:rPr>
              <w:t>□未定级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□一星级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□二星级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□三星级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□四星级</w:t>
            </w:r>
          </w:p>
        </w:tc>
      </w:tr>
      <w:tr w14:paraId="0A4A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592" w:type="dxa"/>
            <w:vAlign w:val="center"/>
          </w:tcPr>
          <w:p w14:paraId="531B56F9">
            <w:pPr>
              <w:rPr>
                <w:rFonts w:ascii="仿宋" w:hAnsi="仿宋" w:eastAsia="仿宋" w:cs="仿宋"/>
                <w:sz w:val="24"/>
                <w:szCs w:val="24"/>
                <w:lang w:bidi="ar"/>
              </w:rPr>
            </w:pPr>
            <w:r>
              <w:rPr>
                <w:rFonts w:hint="eastAsia" w:ascii="仿宋_GB2312" w:hAnsi="仿宋_GB2312" w:eastAsia="仿宋_GB2312" w:cs="仿宋"/>
                <w:sz w:val="24"/>
                <w:szCs w:val="24"/>
                <w:lang w:bidi="ar"/>
              </w:rPr>
              <w:t>拟申请运行安全星级</w:t>
            </w:r>
          </w:p>
        </w:tc>
        <w:tc>
          <w:tcPr>
            <w:tcW w:w="6535" w:type="dxa"/>
            <w:gridSpan w:val="5"/>
            <w:vAlign w:val="center"/>
          </w:tcPr>
          <w:p w14:paraId="5AE47AE0">
            <w:pPr>
              <w:jc w:val="left"/>
              <w:rPr>
                <w:rFonts w:ascii="仿宋" w:hAnsi="仿宋" w:eastAsia="仿宋" w:cs="仿宋"/>
                <w:sz w:val="24"/>
                <w:szCs w:val="24"/>
                <w:lang w:bidi="ar"/>
              </w:rPr>
            </w:pPr>
            <w:r>
              <w:rPr>
                <w:rFonts w:hint="eastAsia" w:ascii="仿宋_GB2312" w:hAnsi="仿宋_GB2312" w:eastAsia="仿宋_GB2312" w:cs="仿宋"/>
                <w:sz w:val="24"/>
                <w:szCs w:val="24"/>
                <w:lang w:bidi="ar"/>
              </w:rPr>
              <w:t>□一星级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□二星级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□三星级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□四星级</w:t>
            </w:r>
            <w:r>
              <w:rPr>
                <w:rFonts w:ascii="仿宋_GB2312" w:hAnsi="仿宋_GB2312" w:eastAsia="仿宋_GB2312" w:cs="仿宋"/>
                <w:sz w:val="24"/>
                <w:szCs w:val="24"/>
                <w:lang w:bidi="ar"/>
              </w:rPr>
              <w:t xml:space="preserve">  </w:t>
            </w:r>
            <w:r>
              <w:rPr>
                <w:rFonts w:hint="eastAsia" w:ascii="仿宋_GB2312" w:hAnsi="仿宋_GB2312" w:eastAsia="仿宋_GB2312" w:cs="仿宋"/>
                <w:sz w:val="24"/>
                <w:szCs w:val="24"/>
                <w:lang w:bidi="ar"/>
              </w:rPr>
              <w:t>□</w:t>
            </w:r>
            <w:r>
              <w:rPr>
                <w:rFonts w:hint="eastAsia" w:ascii="仿宋_GB2312" w:hAnsi="仿宋_GB2312" w:eastAsia="仿宋_GB2312" w:cs="仿宋"/>
                <w:sz w:val="24"/>
                <w:szCs w:val="24"/>
                <w:lang w:val="en-US" w:eastAsia="zh-CN" w:bidi="ar"/>
              </w:rPr>
              <w:t>五</w:t>
            </w:r>
            <w:r>
              <w:rPr>
                <w:rFonts w:hint="eastAsia" w:ascii="仿宋_GB2312" w:hAnsi="仿宋_GB2312" w:eastAsia="仿宋_GB2312" w:cs="仿宋"/>
                <w:sz w:val="24"/>
                <w:szCs w:val="24"/>
                <w:lang w:bidi="ar"/>
              </w:rPr>
              <w:t>星级</w:t>
            </w:r>
          </w:p>
        </w:tc>
      </w:tr>
      <w:tr w14:paraId="1221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restart"/>
            <w:vAlign w:val="center"/>
          </w:tcPr>
          <w:p w14:paraId="7515216D">
            <w:pPr>
              <w:jc w:val="center"/>
              <w:rPr>
                <w:rFonts w:ascii="仿宋_GB2312" w:hAnsi="仿宋_GB2312" w:eastAsia="仿宋_GB2312" w:cs="仿宋"/>
                <w:sz w:val="24"/>
                <w:szCs w:val="24"/>
                <w:lang w:bidi="ar"/>
              </w:rPr>
            </w:pPr>
            <w:r>
              <w:rPr>
                <w:rFonts w:hint="eastAsia" w:ascii="仿宋_GB2312" w:hAnsi="仿宋_GB2312" w:eastAsia="仿宋_GB2312" w:cs="仿宋"/>
                <w:sz w:val="24"/>
                <w:szCs w:val="24"/>
                <w:lang w:bidi="ar"/>
              </w:rPr>
              <w:t>基本申报条件</w:t>
            </w:r>
          </w:p>
          <w:p w14:paraId="46B0575F">
            <w:pPr>
              <w:jc w:val="center"/>
              <w:rPr>
                <w:rFonts w:ascii="仿宋" w:hAnsi="仿宋" w:eastAsia="仿宋" w:cs="仿宋"/>
                <w:sz w:val="24"/>
                <w:szCs w:val="24"/>
                <w:lang w:bidi="ar"/>
              </w:rPr>
            </w:pPr>
            <w:r>
              <w:rPr>
                <w:rFonts w:hint="eastAsia" w:ascii="仿宋_GB2312" w:hAnsi="仿宋_GB2312" w:eastAsia="仿宋_GB2312" w:cs="仿宋"/>
                <w:sz w:val="24"/>
                <w:szCs w:val="24"/>
                <w:lang w:bidi="ar"/>
              </w:rPr>
              <w:t>达标承诺</w:t>
            </w:r>
          </w:p>
        </w:tc>
        <w:tc>
          <w:tcPr>
            <w:tcW w:w="6535" w:type="dxa"/>
            <w:gridSpan w:val="5"/>
            <w:vAlign w:val="center"/>
          </w:tcPr>
          <w:p w14:paraId="7614AC41">
            <w:pPr>
              <w:rPr>
                <w:rFonts w:ascii="仿宋" w:hAnsi="仿宋" w:eastAsia="仿宋" w:cs="仿宋"/>
                <w:sz w:val="24"/>
                <w:szCs w:val="24"/>
                <w:lang w:bidi="ar"/>
              </w:rPr>
            </w:pPr>
            <w:r>
              <w:rPr>
                <w:rFonts w:hint="eastAsia" w:ascii="仿宋_GB2312" w:hAnsi="仿宋_GB2312" w:eastAsia="仿宋_GB2312" w:cs="仿宋"/>
                <w:sz w:val="24"/>
                <w:szCs w:val="24"/>
                <w:lang w:bidi="ar"/>
              </w:rPr>
              <w:t>□本机场已开放使用满</w:t>
            </w:r>
            <w:r>
              <w:rPr>
                <w:rFonts w:ascii="仿宋_GB2312" w:hAnsi="仿宋_GB2312" w:eastAsia="仿宋_GB2312" w:cs="仿宋"/>
                <w:sz w:val="24"/>
                <w:szCs w:val="24"/>
                <w:lang w:bidi="ar"/>
              </w:rPr>
              <w:t>3</w:t>
            </w:r>
            <w:r>
              <w:rPr>
                <w:rFonts w:hint="eastAsia" w:ascii="仿宋_GB2312" w:hAnsi="仿宋_GB2312" w:eastAsia="仿宋_GB2312" w:cs="仿宋"/>
                <w:sz w:val="24"/>
                <w:szCs w:val="24"/>
                <w:lang w:bidi="ar"/>
              </w:rPr>
              <w:t>年（仅适用于申请一星级评定时）。</w:t>
            </w:r>
          </w:p>
        </w:tc>
      </w:tr>
      <w:tr w14:paraId="3057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continue"/>
            <w:vAlign w:val="center"/>
          </w:tcPr>
          <w:p w14:paraId="1C751E20">
            <w:pPr>
              <w:jc w:val="center"/>
              <w:rPr>
                <w:rFonts w:ascii="仿宋" w:hAnsi="仿宋" w:eastAsia="仿宋" w:cs="仿宋"/>
                <w:sz w:val="24"/>
                <w:szCs w:val="24"/>
                <w:lang w:bidi="ar"/>
              </w:rPr>
            </w:pPr>
          </w:p>
        </w:tc>
        <w:tc>
          <w:tcPr>
            <w:tcW w:w="6535" w:type="dxa"/>
            <w:gridSpan w:val="5"/>
            <w:vAlign w:val="center"/>
          </w:tcPr>
          <w:p w14:paraId="636AB8F9">
            <w:pPr>
              <w:rPr>
                <w:rFonts w:hint="eastAsia" w:ascii="仿宋_GB2312" w:hAnsi="仿宋_GB2312" w:eastAsia="仿宋_GB2312" w:cs="仿宋"/>
                <w:sz w:val="24"/>
                <w:szCs w:val="24"/>
                <w:lang w:eastAsia="zh-CN" w:bidi="ar"/>
              </w:rPr>
            </w:pPr>
            <w:r>
              <w:rPr>
                <w:rFonts w:hint="eastAsia" w:ascii="仿宋_GB2312" w:hAnsi="仿宋_GB2312" w:eastAsia="仿宋_GB2312" w:cs="仿宋"/>
                <w:sz w:val="24"/>
                <w:szCs w:val="24"/>
                <w:lang w:bidi="ar"/>
              </w:rPr>
              <w:t>□</w:t>
            </w:r>
            <w:r>
              <w:rPr>
                <w:rFonts w:hint="eastAsia" w:ascii="仿宋_GB2312" w:hAnsi="仿宋_GB2312" w:eastAsia="仿宋_GB2312" w:cs="仿宋_GB2312"/>
                <w:sz w:val="24"/>
                <w:szCs w:val="24"/>
                <w:lang w:val="en-US" w:eastAsia="zh-CN" w:bidi="ar"/>
              </w:rPr>
              <w:t>上一</w:t>
            </w:r>
            <w:r>
              <w:rPr>
                <w:rFonts w:hint="eastAsia" w:ascii="仿宋_GB2312" w:hAnsi="仿宋_GB2312" w:eastAsia="仿宋_GB2312" w:cs="仿宋_GB2312"/>
                <w:sz w:val="24"/>
                <w:szCs w:val="24"/>
                <w:lang w:bidi="ar"/>
              </w:rPr>
              <w:t>年度未发生民航行政机关调查认定的机场运营人责任原因民用航空器一般征候</w:t>
            </w:r>
            <w:r>
              <w:rPr>
                <w:rFonts w:hint="eastAsia" w:ascii="仿宋_GB2312" w:hAnsi="仿宋_GB2312" w:eastAsia="仿宋_GB2312" w:cs="仿宋_GB2312"/>
                <w:sz w:val="24"/>
                <w:szCs w:val="24"/>
                <w:lang w:eastAsia="zh-CN" w:bidi="ar"/>
              </w:rPr>
              <w:t>。</w:t>
            </w:r>
          </w:p>
        </w:tc>
      </w:tr>
      <w:tr w14:paraId="3CA7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continue"/>
            <w:vAlign w:val="center"/>
          </w:tcPr>
          <w:p w14:paraId="11E8E206">
            <w:pPr>
              <w:jc w:val="center"/>
              <w:rPr>
                <w:rFonts w:ascii="仿宋" w:hAnsi="仿宋" w:eastAsia="仿宋" w:cs="仿宋"/>
                <w:sz w:val="24"/>
                <w:szCs w:val="24"/>
                <w:lang w:bidi="ar"/>
              </w:rPr>
            </w:pPr>
          </w:p>
        </w:tc>
        <w:tc>
          <w:tcPr>
            <w:tcW w:w="6535" w:type="dxa"/>
            <w:gridSpan w:val="5"/>
            <w:vAlign w:val="center"/>
          </w:tcPr>
          <w:p w14:paraId="5411744F">
            <w:pPr>
              <w:rPr>
                <w:rFonts w:ascii="仿宋" w:hAnsi="仿宋" w:eastAsia="仿宋" w:cs="仿宋"/>
                <w:sz w:val="24"/>
                <w:szCs w:val="24"/>
                <w:lang w:bidi="ar"/>
              </w:rPr>
            </w:pPr>
            <w:r>
              <w:rPr>
                <w:rFonts w:hint="eastAsia" w:ascii="仿宋_GB2312" w:hAnsi="仿宋_GB2312" w:eastAsia="仿宋_GB2312" w:cs="仿宋"/>
                <w:sz w:val="24"/>
                <w:szCs w:val="24"/>
                <w:lang w:bidi="ar"/>
              </w:rPr>
              <w:t>□</w:t>
            </w:r>
            <w:r>
              <w:rPr>
                <w:rFonts w:hint="eastAsia" w:ascii="仿宋_GB2312" w:hAnsi="仿宋_GB2312" w:eastAsia="仿宋_GB2312" w:cs="仿宋_GB2312"/>
                <w:sz w:val="24"/>
                <w:szCs w:val="24"/>
                <w:lang w:val="en-US" w:eastAsia="zh-CN" w:bidi="ar"/>
              </w:rPr>
              <w:t>上一</w:t>
            </w:r>
            <w:r>
              <w:rPr>
                <w:rFonts w:hint="eastAsia" w:ascii="仿宋_GB2312" w:hAnsi="仿宋_GB2312" w:eastAsia="仿宋_GB2312" w:cs="仿宋_GB2312"/>
                <w:sz w:val="24"/>
                <w:szCs w:val="24"/>
                <w:lang w:bidi="ar"/>
              </w:rPr>
              <w:t>年度</w:t>
            </w:r>
            <w:r>
              <w:rPr>
                <w:rFonts w:hint="eastAsia" w:ascii="仿宋_GB2312" w:hAnsi="仿宋_GB2312" w:eastAsia="仿宋_GB2312" w:cs="仿宋_GB2312"/>
                <w:sz w:val="24"/>
                <w:szCs w:val="24"/>
                <w:lang w:val="en-US" w:eastAsia="zh-CN" w:bidi="ar"/>
              </w:rPr>
              <w:t>本</w:t>
            </w:r>
            <w:r>
              <w:rPr>
                <w:rFonts w:hint="eastAsia" w:ascii="仿宋_GB2312" w:hAnsi="仿宋_GB2312" w:eastAsia="仿宋_GB2312" w:cs="仿宋_GB2312"/>
                <w:sz w:val="24"/>
                <w:szCs w:val="24"/>
                <w:lang w:bidi="ar"/>
              </w:rPr>
              <w:t>机场未发生</w:t>
            </w:r>
            <w:r>
              <w:rPr>
                <w:rFonts w:hint="eastAsia" w:ascii="仿宋_GB2312" w:hAnsi="仿宋_GB2312" w:eastAsia="仿宋_GB2312" w:cs="仿宋_GB2312"/>
                <w:sz w:val="24"/>
                <w:szCs w:val="24"/>
                <w:lang w:eastAsia="zh-CN" w:bidi="ar"/>
              </w:rPr>
              <w:t>民航行政机关</w:t>
            </w:r>
            <w:r>
              <w:rPr>
                <w:rFonts w:hint="eastAsia" w:ascii="仿宋_GB2312" w:hAnsi="仿宋_GB2312" w:eastAsia="仿宋_GB2312" w:cs="仿宋_GB2312"/>
                <w:sz w:val="24"/>
                <w:szCs w:val="24"/>
                <w:lang w:bidi="ar"/>
              </w:rPr>
              <w:t>调查认定的</w:t>
            </w:r>
            <w:r>
              <w:rPr>
                <w:rFonts w:hint="eastAsia" w:ascii="仿宋_GB2312" w:hAnsi="仿宋_GB2312" w:eastAsia="仿宋_GB2312" w:cs="仿宋_GB2312"/>
                <w:sz w:val="24"/>
                <w:szCs w:val="24"/>
                <w:lang w:eastAsia="zh-CN" w:bidi="ar"/>
              </w:rPr>
              <w:t>机场运营人</w:t>
            </w:r>
            <w:r>
              <w:rPr>
                <w:rFonts w:hint="eastAsia" w:ascii="仿宋_GB2312" w:hAnsi="仿宋_GB2312" w:eastAsia="仿宋_GB2312" w:cs="仿宋_GB2312"/>
                <w:sz w:val="24"/>
                <w:szCs w:val="24"/>
                <w:lang w:bidi="ar"/>
              </w:rPr>
              <w:t>责任原因民用航空器事故、民用航空器严重征候。</w:t>
            </w:r>
          </w:p>
        </w:tc>
      </w:tr>
      <w:tr w14:paraId="2400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continue"/>
          </w:tcPr>
          <w:p w14:paraId="115D1818">
            <w:pPr>
              <w:jc w:val="center"/>
              <w:rPr>
                <w:rFonts w:ascii="仿宋" w:hAnsi="仿宋" w:eastAsia="仿宋" w:cs="仿宋"/>
                <w:sz w:val="24"/>
                <w:szCs w:val="24"/>
                <w:lang w:bidi="ar"/>
              </w:rPr>
            </w:pPr>
          </w:p>
        </w:tc>
        <w:tc>
          <w:tcPr>
            <w:tcW w:w="6535" w:type="dxa"/>
            <w:gridSpan w:val="5"/>
            <w:vAlign w:val="center"/>
          </w:tcPr>
          <w:p w14:paraId="3B721E45">
            <w:pPr>
              <w:rPr>
                <w:rFonts w:ascii="仿宋" w:hAnsi="仿宋" w:eastAsia="仿宋" w:cs="仿宋"/>
                <w:sz w:val="24"/>
                <w:szCs w:val="24"/>
                <w:lang w:bidi="ar"/>
              </w:rPr>
            </w:pPr>
            <w:r>
              <w:rPr>
                <w:rFonts w:hint="eastAsia" w:ascii="仿宋_GB2312" w:hAnsi="仿宋_GB2312" w:eastAsia="仿宋_GB2312" w:cs="仿宋"/>
                <w:sz w:val="24"/>
                <w:szCs w:val="24"/>
                <w:lang w:bidi="ar"/>
              </w:rPr>
              <w:t>□</w:t>
            </w:r>
            <w:r>
              <w:rPr>
                <w:rFonts w:hint="eastAsia" w:ascii="仿宋_GB2312" w:hAnsi="仿宋_GB2312" w:eastAsia="仿宋_GB2312" w:cs="仿宋_GB2312"/>
                <w:sz w:val="24"/>
                <w:szCs w:val="24"/>
                <w:lang w:val="en-US" w:eastAsia="zh-CN" w:bidi="ar"/>
              </w:rPr>
              <w:t>上一</w:t>
            </w:r>
            <w:r>
              <w:rPr>
                <w:rFonts w:hint="eastAsia" w:ascii="仿宋_GB2312" w:hAnsi="仿宋_GB2312" w:eastAsia="仿宋_GB2312" w:cs="仿宋_GB2312"/>
                <w:sz w:val="24"/>
                <w:szCs w:val="24"/>
                <w:lang w:bidi="ar"/>
              </w:rPr>
              <w:t>年度</w:t>
            </w:r>
            <w:r>
              <w:rPr>
                <w:rFonts w:hint="eastAsia" w:ascii="仿宋_GB2312" w:hAnsi="仿宋_GB2312" w:eastAsia="仿宋_GB2312" w:cs="仿宋_GB2312"/>
                <w:sz w:val="24"/>
                <w:szCs w:val="24"/>
                <w:lang w:val="en-US" w:eastAsia="zh-CN" w:bidi="ar"/>
              </w:rPr>
              <w:t>本</w:t>
            </w:r>
            <w:r>
              <w:rPr>
                <w:rFonts w:hint="eastAsia" w:ascii="仿宋_GB2312" w:hAnsi="仿宋_GB2312" w:eastAsia="仿宋_GB2312" w:cs="仿宋_GB2312"/>
                <w:sz w:val="24"/>
                <w:szCs w:val="24"/>
                <w:lang w:bidi="ar"/>
              </w:rPr>
              <w:t>机场未发生其他有关行政机关认定的</w:t>
            </w:r>
            <w:r>
              <w:rPr>
                <w:rFonts w:hint="eastAsia" w:ascii="仿宋_GB2312" w:hAnsi="仿宋_GB2312" w:eastAsia="仿宋_GB2312" w:cs="仿宋_GB2312"/>
                <w:sz w:val="24"/>
                <w:szCs w:val="24"/>
                <w:lang w:eastAsia="zh-CN" w:bidi="ar"/>
              </w:rPr>
              <w:t>机场运营人</w:t>
            </w:r>
            <w:r>
              <w:rPr>
                <w:rFonts w:hint="eastAsia" w:ascii="仿宋_GB2312" w:hAnsi="仿宋_GB2312" w:eastAsia="仿宋_GB2312" w:cs="仿宋_GB2312"/>
                <w:sz w:val="24"/>
                <w:szCs w:val="24"/>
                <w:lang w:bidi="ar"/>
              </w:rPr>
              <w:t>责任原因一般及以上生产安全事故。</w:t>
            </w:r>
          </w:p>
        </w:tc>
      </w:tr>
      <w:tr w14:paraId="59FE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continue"/>
          </w:tcPr>
          <w:p w14:paraId="3278B415">
            <w:pPr>
              <w:jc w:val="center"/>
              <w:rPr>
                <w:rFonts w:ascii="仿宋" w:hAnsi="仿宋" w:eastAsia="仿宋" w:cs="仿宋"/>
                <w:sz w:val="24"/>
                <w:szCs w:val="24"/>
                <w:lang w:bidi="ar"/>
              </w:rPr>
            </w:pPr>
          </w:p>
        </w:tc>
        <w:tc>
          <w:tcPr>
            <w:tcW w:w="6535" w:type="dxa"/>
            <w:gridSpan w:val="5"/>
            <w:vAlign w:val="center"/>
          </w:tcPr>
          <w:p w14:paraId="5BA16723">
            <w:pPr>
              <w:rPr>
                <w:rFonts w:ascii="仿宋" w:hAnsi="仿宋" w:eastAsia="仿宋" w:cs="仿宋"/>
                <w:sz w:val="24"/>
                <w:szCs w:val="24"/>
                <w:lang w:bidi="ar"/>
              </w:rPr>
            </w:pPr>
            <w:r>
              <w:rPr>
                <w:rFonts w:hint="eastAsia" w:ascii="仿宋_GB2312" w:hAnsi="仿宋_GB2312" w:eastAsia="仿宋_GB2312" w:cs="仿宋"/>
                <w:sz w:val="24"/>
                <w:szCs w:val="24"/>
                <w:lang w:bidi="ar"/>
              </w:rPr>
              <w:t>□</w:t>
            </w:r>
            <w:r>
              <w:rPr>
                <w:rFonts w:hint="eastAsia" w:ascii="仿宋_GB2312" w:hAnsi="仿宋_GB2312" w:eastAsia="仿宋_GB2312" w:cs="仿宋_GB2312"/>
                <w:sz w:val="24"/>
                <w:szCs w:val="24"/>
                <w:lang w:val="en-US" w:eastAsia="zh-CN" w:bidi="ar"/>
              </w:rPr>
              <w:t>上一</w:t>
            </w:r>
            <w:r>
              <w:rPr>
                <w:rFonts w:hint="eastAsia" w:ascii="仿宋_GB2312" w:hAnsi="仿宋_GB2312" w:eastAsia="仿宋_GB2312" w:cs="仿宋_GB2312"/>
                <w:sz w:val="24"/>
                <w:szCs w:val="24"/>
                <w:lang w:bidi="ar"/>
              </w:rPr>
              <w:t>年度</w:t>
            </w:r>
            <w:r>
              <w:rPr>
                <w:rFonts w:hint="eastAsia" w:ascii="仿宋_GB2312" w:hAnsi="仿宋_GB2312" w:eastAsia="仿宋_GB2312" w:cs="仿宋_GB2312"/>
                <w:sz w:val="24"/>
                <w:szCs w:val="24"/>
                <w:lang w:val="en-US" w:eastAsia="zh-CN" w:bidi="ar"/>
              </w:rPr>
              <w:t>本</w:t>
            </w:r>
            <w:r>
              <w:rPr>
                <w:rFonts w:hint="eastAsia" w:ascii="仿宋_GB2312" w:hAnsi="仿宋_GB2312" w:eastAsia="仿宋_GB2312" w:cs="仿宋_GB2312"/>
                <w:sz w:val="24"/>
                <w:szCs w:val="24"/>
                <w:lang w:bidi="ar"/>
              </w:rPr>
              <w:t>机场未发生</w:t>
            </w:r>
            <w:r>
              <w:rPr>
                <w:rFonts w:hint="eastAsia" w:ascii="仿宋_GB2312" w:hAnsi="仿宋_GB2312" w:eastAsia="仿宋_GB2312" w:cs="仿宋_GB2312"/>
                <w:sz w:val="24"/>
                <w:szCs w:val="24"/>
                <w:lang w:eastAsia="zh-CN" w:bidi="ar"/>
              </w:rPr>
              <w:t>机场运营人</w:t>
            </w:r>
            <w:r>
              <w:rPr>
                <w:rFonts w:hint="eastAsia" w:ascii="仿宋_GB2312" w:hAnsi="仿宋_GB2312" w:eastAsia="仿宋_GB2312" w:cs="仿宋_GB2312"/>
                <w:sz w:val="24"/>
                <w:szCs w:val="24"/>
                <w:lang w:bidi="ar"/>
              </w:rPr>
              <w:t>责任原因其他造成较大社会影响的安全生产事件</w:t>
            </w:r>
            <w:r>
              <w:rPr>
                <w:rFonts w:hint="eastAsia" w:ascii="仿宋_GB2312" w:hAnsi="仿宋_GB2312" w:eastAsia="仿宋_GB2312" w:cs="仿宋"/>
                <w:sz w:val="24"/>
                <w:szCs w:val="24"/>
                <w:lang w:bidi="ar"/>
              </w:rPr>
              <w:t>。</w:t>
            </w:r>
          </w:p>
        </w:tc>
      </w:tr>
      <w:tr w14:paraId="0DE5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2" w:type="dxa"/>
            <w:vMerge w:val="continue"/>
          </w:tcPr>
          <w:p w14:paraId="17FD82BD">
            <w:pPr>
              <w:jc w:val="center"/>
              <w:rPr>
                <w:rFonts w:ascii="仿宋" w:hAnsi="仿宋" w:eastAsia="仿宋" w:cs="仿宋"/>
                <w:sz w:val="24"/>
                <w:szCs w:val="24"/>
                <w:lang w:bidi="ar"/>
              </w:rPr>
            </w:pPr>
          </w:p>
        </w:tc>
        <w:tc>
          <w:tcPr>
            <w:tcW w:w="6535" w:type="dxa"/>
            <w:gridSpan w:val="5"/>
            <w:vAlign w:val="center"/>
          </w:tcPr>
          <w:p w14:paraId="738D46E0">
            <w:pPr>
              <w:rPr>
                <w:rFonts w:ascii="仿宋" w:hAnsi="仿宋" w:eastAsia="仿宋" w:cs="仿宋"/>
                <w:sz w:val="24"/>
                <w:szCs w:val="24"/>
                <w:lang w:bidi="ar"/>
              </w:rPr>
            </w:pPr>
            <w:r>
              <w:rPr>
                <w:rFonts w:hint="eastAsia" w:ascii="仿宋_GB2312" w:hAnsi="仿宋_GB2312" w:eastAsia="仿宋_GB2312" w:cs="仿宋"/>
                <w:sz w:val="24"/>
                <w:szCs w:val="24"/>
                <w:lang w:bidi="ar"/>
              </w:rPr>
              <w:t>□</w:t>
            </w:r>
            <w:r>
              <w:rPr>
                <w:rFonts w:hint="eastAsia" w:ascii="仿宋_GB2312" w:hAnsi="仿宋_GB2312" w:eastAsia="仿宋_GB2312" w:cs="仿宋_GB2312"/>
                <w:sz w:val="24"/>
                <w:szCs w:val="24"/>
                <w:lang w:val="en-US" w:eastAsia="zh-CN" w:bidi="ar"/>
              </w:rPr>
              <w:t>上一</w:t>
            </w:r>
            <w:r>
              <w:rPr>
                <w:rFonts w:hint="eastAsia" w:ascii="仿宋_GB2312" w:hAnsi="仿宋_GB2312" w:eastAsia="仿宋_GB2312" w:cs="仿宋_GB2312"/>
                <w:sz w:val="24"/>
                <w:szCs w:val="24"/>
                <w:lang w:bidi="ar"/>
              </w:rPr>
              <w:t>年度</w:t>
            </w:r>
            <w:r>
              <w:rPr>
                <w:rFonts w:hint="eastAsia" w:ascii="仿宋_GB2312" w:hAnsi="仿宋_GB2312" w:eastAsia="仿宋_GB2312" w:cs="仿宋_GB2312"/>
                <w:sz w:val="24"/>
                <w:szCs w:val="24"/>
              </w:rPr>
              <w:t>本机场开放运行高于或等于270天。</w:t>
            </w:r>
          </w:p>
        </w:tc>
      </w:tr>
      <w:tr w14:paraId="61D1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trPr>
        <w:tc>
          <w:tcPr>
            <w:tcW w:w="2592" w:type="dxa"/>
            <w:vAlign w:val="center"/>
          </w:tcPr>
          <w:p w14:paraId="25F3F984">
            <w:pPr>
              <w:jc w:val="center"/>
              <w:rPr>
                <w:rFonts w:ascii="仿宋" w:hAnsi="仿宋" w:eastAsia="仿宋" w:cs="仿宋"/>
                <w:sz w:val="24"/>
                <w:szCs w:val="24"/>
                <w:vertAlign w:val="superscript"/>
                <w:lang w:bidi="ar"/>
              </w:rPr>
            </w:pPr>
            <w:r>
              <w:rPr>
                <w:rFonts w:hint="eastAsia" w:ascii="仿宋_GB2312" w:hAnsi="仿宋_GB2312" w:eastAsia="仿宋_GB2312" w:cs="仿宋"/>
                <w:sz w:val="24"/>
                <w:szCs w:val="24"/>
                <w:lang w:bidi="ar"/>
              </w:rPr>
              <w:t>机场运行安全星级奖评定积分</w:t>
            </w:r>
            <w:r>
              <w:rPr>
                <w:rFonts w:hint="eastAsia" w:ascii="仿宋_GB2312" w:hAnsi="仿宋_GB2312" w:eastAsia="仿宋_GB2312" w:cs="仿宋_GB2312"/>
                <w:sz w:val="24"/>
                <w:szCs w:val="24"/>
                <w:lang w:val="en-US" w:eastAsia="zh-CN" w:bidi="ar"/>
              </w:rPr>
              <w:t>累计</w:t>
            </w:r>
            <w:r>
              <w:rPr>
                <w:rFonts w:hint="eastAsia" w:ascii="仿宋_GB2312" w:hAnsi="仿宋_GB2312" w:eastAsia="仿宋_GB2312" w:cs="仿宋"/>
                <w:sz w:val="24"/>
                <w:szCs w:val="24"/>
                <w:lang w:bidi="ar"/>
              </w:rPr>
              <w:t>情况</w:t>
            </w:r>
          </w:p>
        </w:tc>
        <w:tc>
          <w:tcPr>
            <w:tcW w:w="2256" w:type="dxa"/>
          </w:tcPr>
          <w:p w14:paraId="1BB80689">
            <w:pPr>
              <w:jc w:val="left"/>
              <w:rPr>
                <w:rFonts w:ascii="仿宋_GB2312" w:hAnsi="仿宋_GB2312" w:eastAsia="仿宋_GB2312" w:cs="仿宋"/>
                <w:sz w:val="24"/>
                <w:szCs w:val="24"/>
              </w:rPr>
            </w:pPr>
            <w:r>
              <w:rPr>
                <w:rFonts w:hint="eastAsia" w:ascii="仿宋_GB2312" w:hAnsi="仿宋_GB2312" w:eastAsia="仿宋_GB2312" w:cs="仿宋"/>
                <w:sz w:val="24"/>
                <w:szCs w:val="24"/>
              </w:rPr>
              <w:t>第一项：</w:t>
            </w:r>
          </w:p>
          <w:p w14:paraId="7DDF777A">
            <w:pPr>
              <w:jc w:val="left"/>
              <w:rPr>
                <w:rFonts w:ascii="仿宋" w:hAnsi="仿宋" w:eastAsia="仿宋" w:cs="仿宋"/>
                <w:sz w:val="24"/>
                <w:szCs w:val="24"/>
              </w:rPr>
            </w:pPr>
            <w:r>
              <w:rPr>
                <w:rFonts w:hint="eastAsia" w:ascii="仿宋_GB2312" w:hAnsi="仿宋_GB2312" w:eastAsia="仿宋_GB2312" w:cs="仿宋"/>
                <w:sz w:val="24"/>
                <w:szCs w:val="24"/>
              </w:rPr>
              <w:t>依据运输机场运行安全保障能力评估积分：</w:t>
            </w:r>
          </w:p>
        </w:tc>
        <w:tc>
          <w:tcPr>
            <w:tcW w:w="2139" w:type="dxa"/>
            <w:gridSpan w:val="2"/>
          </w:tcPr>
          <w:p w14:paraId="00F78EFE">
            <w:pPr>
              <w:jc w:val="left"/>
              <w:rPr>
                <w:rFonts w:ascii="仿宋_GB2312" w:hAnsi="仿宋_GB2312" w:eastAsia="仿宋_GB2312" w:cs="仿宋"/>
                <w:sz w:val="24"/>
                <w:szCs w:val="24"/>
              </w:rPr>
            </w:pPr>
            <w:r>
              <w:rPr>
                <w:rFonts w:hint="eastAsia" w:ascii="仿宋_GB2312" w:hAnsi="仿宋_GB2312" w:eastAsia="仿宋_GB2312" w:cs="仿宋"/>
                <w:sz w:val="24"/>
                <w:szCs w:val="24"/>
              </w:rPr>
              <w:t>第二项：</w:t>
            </w:r>
          </w:p>
          <w:p w14:paraId="34354991">
            <w:pPr>
              <w:jc w:val="left"/>
              <w:rPr>
                <w:rFonts w:ascii="仿宋" w:hAnsi="仿宋" w:eastAsia="仿宋" w:cs="仿宋"/>
                <w:sz w:val="24"/>
                <w:szCs w:val="24"/>
              </w:rPr>
            </w:pPr>
            <w:r>
              <w:rPr>
                <w:rFonts w:hint="eastAsia" w:ascii="仿宋_GB2312" w:hAnsi="仿宋_GB2312" w:eastAsia="仿宋_GB2312" w:cs="仿宋"/>
                <w:sz w:val="24"/>
                <w:szCs w:val="24"/>
              </w:rPr>
              <w:t>依据其他事项积分：</w:t>
            </w:r>
          </w:p>
        </w:tc>
        <w:tc>
          <w:tcPr>
            <w:tcW w:w="2140" w:type="dxa"/>
            <w:gridSpan w:val="2"/>
          </w:tcPr>
          <w:p w14:paraId="7B54085B">
            <w:pPr>
              <w:jc w:val="left"/>
              <w:rPr>
                <w:rFonts w:ascii="仿宋" w:hAnsi="仿宋" w:eastAsia="仿宋" w:cs="仿宋"/>
                <w:sz w:val="24"/>
                <w:szCs w:val="24"/>
              </w:rPr>
            </w:pPr>
            <w:r>
              <w:rPr>
                <w:rFonts w:hint="eastAsia" w:ascii="仿宋_GB2312" w:hAnsi="仿宋_GB2312" w:eastAsia="仿宋_GB2312" w:cs="仿宋"/>
                <w:sz w:val="24"/>
                <w:szCs w:val="24"/>
              </w:rPr>
              <w:t>综合得分：</w:t>
            </w:r>
          </w:p>
        </w:tc>
      </w:tr>
      <w:tr w14:paraId="7DC5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2592" w:type="dxa"/>
            <w:vAlign w:val="center"/>
          </w:tcPr>
          <w:p w14:paraId="3BEB8CD0">
            <w:pPr>
              <w:jc w:val="center"/>
              <w:rPr>
                <w:rFonts w:ascii="仿宋" w:hAnsi="仿宋" w:eastAsia="仿宋" w:cs="仿宋"/>
                <w:sz w:val="24"/>
                <w:szCs w:val="24"/>
                <w:lang w:bidi="ar"/>
              </w:rPr>
            </w:pPr>
            <w:r>
              <w:rPr>
                <w:rFonts w:hint="eastAsia" w:ascii="仿宋_GB2312" w:hAnsi="仿宋_GB2312" w:eastAsia="仿宋_GB2312" w:cs="仿宋"/>
                <w:sz w:val="24"/>
                <w:szCs w:val="24"/>
                <w:lang w:bidi="ar"/>
              </w:rPr>
              <w:t>申报单位意见</w:t>
            </w:r>
          </w:p>
        </w:tc>
        <w:tc>
          <w:tcPr>
            <w:tcW w:w="6535" w:type="dxa"/>
            <w:gridSpan w:val="5"/>
          </w:tcPr>
          <w:p w14:paraId="3B02AC59">
            <w:pPr>
              <w:rPr>
                <w:rFonts w:ascii="仿宋_GB2312" w:hAnsi="仿宋_GB2312" w:eastAsia="仿宋_GB2312" w:cs="仿宋"/>
                <w:sz w:val="24"/>
                <w:szCs w:val="24"/>
                <w:lang w:bidi="ar"/>
              </w:rPr>
            </w:pPr>
          </w:p>
          <w:p w14:paraId="0960AC89">
            <w:pPr>
              <w:rPr>
                <w:rFonts w:ascii="仿宋_GB2312" w:hAnsi="仿宋_GB2312" w:eastAsia="仿宋_GB2312" w:cs="仿宋"/>
                <w:sz w:val="24"/>
                <w:szCs w:val="24"/>
                <w:lang w:bidi="ar"/>
              </w:rPr>
            </w:pPr>
          </w:p>
          <w:p w14:paraId="23964614">
            <w:pPr>
              <w:jc w:val="center"/>
              <w:rPr>
                <w:rFonts w:ascii="仿宋_GB2312" w:hAnsi="仿宋_GB2312" w:eastAsia="仿宋_GB2312" w:cs="仿宋"/>
                <w:sz w:val="24"/>
                <w:szCs w:val="24"/>
                <w:lang w:bidi="ar"/>
              </w:rPr>
            </w:pPr>
            <w:r>
              <w:rPr>
                <w:rFonts w:hint="eastAsia" w:ascii="仿宋_GB2312" w:hAnsi="仿宋_GB2312" w:eastAsia="仿宋_GB2312" w:cs="仿宋"/>
                <w:sz w:val="24"/>
                <w:szCs w:val="24"/>
                <w:lang w:bidi="ar"/>
              </w:rPr>
              <w:t>法人代表签字：</w:t>
            </w:r>
          </w:p>
          <w:p w14:paraId="570B43F5">
            <w:pPr>
              <w:jc w:val="center"/>
              <w:rPr>
                <w:rFonts w:ascii="仿宋_GB2312" w:hAnsi="仿宋_GB2312" w:eastAsia="仿宋_GB2312" w:cs="仿宋"/>
                <w:sz w:val="24"/>
                <w:szCs w:val="24"/>
                <w:lang w:bidi="ar"/>
              </w:rPr>
            </w:pPr>
            <w:r>
              <w:rPr>
                <w:rFonts w:hint="eastAsia" w:ascii="仿宋_GB2312" w:hAnsi="仿宋_GB2312" w:eastAsia="仿宋_GB2312" w:cs="仿宋"/>
                <w:sz w:val="24"/>
                <w:szCs w:val="24"/>
                <w:lang w:bidi="ar"/>
              </w:rPr>
              <w:t>申报单位盖章：</w:t>
            </w:r>
          </w:p>
          <w:p w14:paraId="663AEDE9">
            <w:pPr>
              <w:jc w:val="right"/>
              <w:rPr>
                <w:rFonts w:ascii="仿宋" w:hAnsi="仿宋" w:eastAsia="仿宋" w:cs="仿宋"/>
                <w:sz w:val="24"/>
                <w:szCs w:val="24"/>
                <w:lang w:bidi="ar"/>
              </w:rPr>
            </w:pPr>
            <w:r>
              <w:rPr>
                <w:rFonts w:hint="eastAsia" w:ascii="仿宋_GB2312" w:hAnsi="仿宋_GB2312" w:eastAsia="仿宋_GB2312" w:cs="仿宋"/>
                <w:sz w:val="24"/>
                <w:szCs w:val="24"/>
                <w:lang w:bidi="ar"/>
              </w:rPr>
              <w:t>年</w:t>
            </w:r>
            <w:r>
              <w:rPr>
                <w:rFonts w:ascii="仿宋_GB2312" w:hAnsi="仿宋_GB2312" w:eastAsia="仿宋_GB2312" w:cs="仿宋"/>
                <w:sz w:val="24"/>
                <w:szCs w:val="24"/>
                <w:lang w:bidi="ar"/>
              </w:rPr>
              <w:t xml:space="preserve">      月     日       </w:t>
            </w:r>
          </w:p>
        </w:tc>
      </w:tr>
      <w:tr w14:paraId="3B88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592" w:type="dxa"/>
            <w:vAlign w:val="center"/>
          </w:tcPr>
          <w:p w14:paraId="2DAE8E9D">
            <w:pPr>
              <w:ind w:firstLine="480"/>
              <w:jc w:val="center"/>
              <w:rPr>
                <w:rFonts w:ascii="仿宋" w:hAnsi="仿宋" w:eastAsia="仿宋" w:cs="仿宋"/>
                <w:sz w:val="24"/>
                <w:szCs w:val="24"/>
                <w:lang w:bidi="ar"/>
              </w:rPr>
            </w:pPr>
            <w:r>
              <w:rPr>
                <w:rFonts w:hint="eastAsia" w:ascii="仿宋_GB2312" w:hAnsi="仿宋_GB2312" w:eastAsia="仿宋_GB2312" w:cs="仿宋"/>
                <w:sz w:val="24"/>
                <w:szCs w:val="24"/>
                <w:lang w:bidi="ar"/>
              </w:rPr>
              <w:t>地区管理局审核意见</w:t>
            </w:r>
          </w:p>
        </w:tc>
        <w:tc>
          <w:tcPr>
            <w:tcW w:w="6535" w:type="dxa"/>
            <w:gridSpan w:val="5"/>
          </w:tcPr>
          <w:p w14:paraId="187346B4">
            <w:pPr>
              <w:ind w:firstLine="480"/>
              <w:jc w:val="center"/>
              <w:rPr>
                <w:rFonts w:ascii="仿宋_GB2312" w:hAnsi="仿宋_GB2312" w:eastAsia="仿宋_GB2312" w:cs="仿宋"/>
                <w:sz w:val="24"/>
                <w:szCs w:val="24"/>
                <w:lang w:bidi="ar"/>
              </w:rPr>
            </w:pPr>
          </w:p>
          <w:p w14:paraId="099D62AD">
            <w:pPr>
              <w:ind w:firstLine="480"/>
              <w:jc w:val="center"/>
              <w:rPr>
                <w:rFonts w:ascii="仿宋_GB2312" w:hAnsi="仿宋_GB2312" w:eastAsia="仿宋_GB2312" w:cs="仿宋"/>
                <w:sz w:val="24"/>
                <w:szCs w:val="24"/>
                <w:lang w:bidi="ar"/>
              </w:rPr>
            </w:pPr>
          </w:p>
          <w:p w14:paraId="75DF372C">
            <w:pPr>
              <w:ind w:firstLine="480"/>
              <w:jc w:val="center"/>
              <w:rPr>
                <w:rFonts w:ascii="仿宋_GB2312" w:hAnsi="仿宋_GB2312" w:eastAsia="仿宋_GB2312" w:cs="仿宋"/>
                <w:sz w:val="24"/>
                <w:szCs w:val="24"/>
                <w:lang w:bidi="ar"/>
              </w:rPr>
            </w:pPr>
            <w:r>
              <w:rPr>
                <w:rFonts w:hint="eastAsia" w:ascii="仿宋_GB2312" w:hAnsi="仿宋_GB2312" w:eastAsia="仿宋_GB2312" w:cs="仿宋"/>
                <w:sz w:val="24"/>
                <w:szCs w:val="24"/>
                <w:lang w:bidi="ar"/>
              </w:rPr>
              <w:t>签字（盖章）：</w:t>
            </w:r>
          </w:p>
          <w:p w14:paraId="0F549942">
            <w:pPr>
              <w:ind w:firstLine="480"/>
              <w:jc w:val="right"/>
              <w:rPr>
                <w:rFonts w:ascii="仿宋" w:hAnsi="仿宋" w:eastAsia="仿宋" w:cs="仿宋"/>
                <w:sz w:val="24"/>
                <w:szCs w:val="24"/>
                <w:lang w:bidi="ar"/>
              </w:rPr>
            </w:pPr>
            <w:r>
              <w:rPr>
                <w:rFonts w:hint="eastAsia" w:ascii="仿宋_GB2312" w:hAnsi="仿宋_GB2312" w:eastAsia="仿宋_GB2312" w:cs="仿宋"/>
                <w:sz w:val="24"/>
                <w:szCs w:val="24"/>
                <w:lang w:bidi="ar"/>
              </w:rPr>
              <w:t>年</w:t>
            </w:r>
            <w:r>
              <w:rPr>
                <w:rFonts w:ascii="仿宋_GB2312" w:hAnsi="仿宋_GB2312" w:eastAsia="仿宋_GB2312" w:cs="仿宋"/>
                <w:sz w:val="24"/>
                <w:szCs w:val="24"/>
                <w:lang w:bidi="ar"/>
              </w:rPr>
              <w:t xml:space="preserve">      月     日  </w:t>
            </w:r>
          </w:p>
        </w:tc>
      </w:tr>
    </w:tbl>
    <w:p w14:paraId="16150B23">
      <w:pPr>
        <w:rPr>
          <w:rFonts w:hint="eastAsia" w:ascii="仿宋_GB2312" w:hAnsi="仿宋_GB2312" w:eastAsia="仿宋_GB2312" w:cs="仿宋_GB2312"/>
        </w:rPr>
      </w:pPr>
      <w:r>
        <w:rPr>
          <w:rFonts w:hint="eastAsia" w:ascii="仿宋_GB2312" w:hAnsi="仿宋_GB2312" w:eastAsia="仿宋_GB2312" w:cs="仿宋_GB2312"/>
          <w:b/>
          <w:bCs/>
        </w:rPr>
        <w:t>*备注：</w:t>
      </w:r>
      <w:r>
        <w:rPr>
          <w:rFonts w:hint="eastAsia" w:ascii="仿宋_GB2312" w:hAnsi="仿宋_GB2312" w:eastAsia="仿宋_GB2312" w:cs="仿宋_GB2312"/>
          <w:b/>
          <w:bCs/>
          <w:lang w:val="en-US" w:eastAsia="zh-CN"/>
        </w:rPr>
        <w:t>1.</w:t>
      </w:r>
      <w:r>
        <w:rPr>
          <w:rFonts w:hint="eastAsia" w:ascii="仿宋_GB2312" w:hAnsi="仿宋_GB2312" w:eastAsia="仿宋_GB2312" w:cs="仿宋_GB2312"/>
        </w:rPr>
        <w:t>申报单位积分情况证明材料可以附件的形式提供</w:t>
      </w:r>
    </w:p>
    <w:p w14:paraId="1DD7FD68">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bCs/>
          <w:lang w:val="en-US" w:eastAsia="zh-CN"/>
        </w:rPr>
        <w:t>2.</w:t>
      </w:r>
      <w:r>
        <w:rPr>
          <w:rFonts w:hint="eastAsia" w:ascii="仿宋_GB2312" w:hAnsi="仿宋_GB2312" w:eastAsia="仿宋_GB2312" w:cs="仿宋_GB2312"/>
          <w:lang w:val="en-US" w:eastAsia="zh-CN"/>
        </w:rPr>
        <w:t>首次申请的积分自2022年1月1日起计算。</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B4B962-766F-47E0-9D6B-75D950B49E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0E76954-AC89-43CE-896F-B6B955881A18}"/>
  </w:font>
  <w:font w:name="楷体_GB2312">
    <w:panose1 w:val="02010609030101010101"/>
    <w:charset w:val="86"/>
    <w:family w:val="modern"/>
    <w:pitch w:val="default"/>
    <w:sig w:usb0="00000001" w:usb1="080E0000" w:usb2="00000000" w:usb3="00000000" w:csb0="00040000" w:csb1="00000000"/>
    <w:embedRegular r:id="rId3" w:fontKey="{7EBD48FC-20EB-497E-81C2-5AC4CBDF840A}"/>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4" w:fontKey="{07769A61-7C27-4A63-AAB7-1774576B83A4}"/>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embedRegular r:id="rId5" w:fontKey="{9BBD0FC2-C2CE-4E66-9315-6E063CBFBE0E}"/>
  </w:font>
  <w:font w:name="方正小标宋简体">
    <w:panose1 w:val="02000000000000000000"/>
    <w:charset w:val="86"/>
    <w:family w:val="auto"/>
    <w:pitch w:val="default"/>
    <w:sig w:usb0="A00002BF" w:usb1="184F6CFA" w:usb2="00000012" w:usb3="00000000" w:csb0="00040001" w:csb1="00000000"/>
    <w:embedRegular r:id="rId6" w:fontKey="{036DD8A7-79C0-4961-A2B2-979D9B5AEC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2939177"/>
    </w:sdtPr>
    <w:sdtContent>
      <w:p w14:paraId="1F749589">
        <w:pPr>
          <w:pStyle w:val="14"/>
          <w:jc w:val="center"/>
        </w:pPr>
        <w:r>
          <w:fldChar w:fldCharType="begin"/>
        </w:r>
        <w:r>
          <w:instrText xml:space="preserve">PAGE   \* MERGEFORMAT</w:instrText>
        </w:r>
        <w:r>
          <w:fldChar w:fldCharType="separate"/>
        </w:r>
        <w:r>
          <w:rPr>
            <w:lang w:val="zh-CN"/>
          </w:rPr>
          <w:t>1</w:t>
        </w:r>
        <w:r>
          <w:fldChar w:fldCharType="end"/>
        </w:r>
      </w:p>
    </w:sdtContent>
  </w:sdt>
  <w:p w14:paraId="5699790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77B7">
    <w:pPr>
      <w:pStyle w:val="14"/>
      <w:jc w:val="center"/>
    </w:pPr>
    <w:r>
      <w:fldChar w:fldCharType="begin"/>
    </w:r>
    <w:r>
      <w:instrText xml:space="preserve"> PAGE   \* MERGEFORMAT </w:instrText>
    </w:r>
    <w:r>
      <w:fldChar w:fldCharType="separate"/>
    </w:r>
    <w:r>
      <w:rPr>
        <w:lang w:val="zh-CN"/>
      </w:rPr>
      <w:t>34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E8BE7">
    <w:pPr>
      <w:pStyle w:val="15"/>
      <w:pBdr>
        <w:bottom w:val="none" w:color="auto" w:sz="0" w:space="1"/>
      </w:pBdr>
    </w:pPr>
    <w:r>
      <w:rPr>
        <w:sz w:val="18"/>
      </w:rPr>
      <w:pict>
        <v:shape id="PowerPlusWaterMarkObject14316" o:spid="_x0000_s4097" o:spt="136" type="#_x0000_t136" style="position:absolute;left:0pt;height:108.95pt;width:478.3pt;mso-position-horizontal:center;mso-position-horizontal-relative:margin;mso-position-vertical:center;mso-position-vertical-relative:margin;rotation:-2949120f;z-index:-251657216;mso-width-relative:page;mso-height-relative:page;" fillcolor="#C0C0C0" filled="t" stroked="f" coordsize="21600,21600" adj="10800">
          <v:path/>
          <v:fill on="t" color2="#FFFFFF" opacity="45875f" focussize="0,0"/>
          <v:stroke on="f"/>
          <v:imagedata o:title=""/>
          <o:lock v:ext="edit" aspectratio="t"/>
          <v:textpath on="t" fitshape="t" fitpath="t" trim="t" xscale="f" string="修订征求意见稿" style="font-family:黑体;font-size:3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iNmQ1ZjMxOTk0ZTRlYThmNDQ2ZDNkMWZmMGYwYjgifQ=="/>
  </w:docVars>
  <w:rsids>
    <w:rsidRoot w:val="002D399E"/>
    <w:rsid w:val="00000079"/>
    <w:rsid w:val="000001A1"/>
    <w:rsid w:val="00000F95"/>
    <w:rsid w:val="000011E5"/>
    <w:rsid w:val="000012D0"/>
    <w:rsid w:val="000015BE"/>
    <w:rsid w:val="00001760"/>
    <w:rsid w:val="00002877"/>
    <w:rsid w:val="00002909"/>
    <w:rsid w:val="00002B46"/>
    <w:rsid w:val="00003887"/>
    <w:rsid w:val="00003EE9"/>
    <w:rsid w:val="00004D81"/>
    <w:rsid w:val="0000509B"/>
    <w:rsid w:val="000051AB"/>
    <w:rsid w:val="00005859"/>
    <w:rsid w:val="00005A73"/>
    <w:rsid w:val="00005AE2"/>
    <w:rsid w:val="00005B21"/>
    <w:rsid w:val="00005C82"/>
    <w:rsid w:val="00006B19"/>
    <w:rsid w:val="000072B2"/>
    <w:rsid w:val="00007D8C"/>
    <w:rsid w:val="0001040B"/>
    <w:rsid w:val="0001114E"/>
    <w:rsid w:val="00011533"/>
    <w:rsid w:val="00011BA2"/>
    <w:rsid w:val="00012A11"/>
    <w:rsid w:val="0001307A"/>
    <w:rsid w:val="00013E35"/>
    <w:rsid w:val="00014188"/>
    <w:rsid w:val="0001548F"/>
    <w:rsid w:val="00015800"/>
    <w:rsid w:val="000163D9"/>
    <w:rsid w:val="00016690"/>
    <w:rsid w:val="00017BFC"/>
    <w:rsid w:val="0002019C"/>
    <w:rsid w:val="00020AD6"/>
    <w:rsid w:val="00020B14"/>
    <w:rsid w:val="00022731"/>
    <w:rsid w:val="00022A96"/>
    <w:rsid w:val="00022A98"/>
    <w:rsid w:val="00022DB0"/>
    <w:rsid w:val="00023229"/>
    <w:rsid w:val="00023BAC"/>
    <w:rsid w:val="00024FC4"/>
    <w:rsid w:val="00025A43"/>
    <w:rsid w:val="00025AE4"/>
    <w:rsid w:val="000260EB"/>
    <w:rsid w:val="00026D23"/>
    <w:rsid w:val="0002747C"/>
    <w:rsid w:val="00027521"/>
    <w:rsid w:val="00027A6E"/>
    <w:rsid w:val="00027DE7"/>
    <w:rsid w:val="00027E60"/>
    <w:rsid w:val="0003032E"/>
    <w:rsid w:val="00030475"/>
    <w:rsid w:val="000308F7"/>
    <w:rsid w:val="0003096D"/>
    <w:rsid w:val="00030C36"/>
    <w:rsid w:val="00030C52"/>
    <w:rsid w:val="00030FAA"/>
    <w:rsid w:val="00031273"/>
    <w:rsid w:val="00032CB2"/>
    <w:rsid w:val="00032D28"/>
    <w:rsid w:val="00032DDE"/>
    <w:rsid w:val="00033652"/>
    <w:rsid w:val="00033B0B"/>
    <w:rsid w:val="00033CEC"/>
    <w:rsid w:val="0003547E"/>
    <w:rsid w:val="00035706"/>
    <w:rsid w:val="00035D59"/>
    <w:rsid w:val="00035FFB"/>
    <w:rsid w:val="000364AC"/>
    <w:rsid w:val="000367E1"/>
    <w:rsid w:val="00036855"/>
    <w:rsid w:val="00036F8A"/>
    <w:rsid w:val="00040D7A"/>
    <w:rsid w:val="00041467"/>
    <w:rsid w:val="00041B01"/>
    <w:rsid w:val="00042130"/>
    <w:rsid w:val="000421A3"/>
    <w:rsid w:val="000443EC"/>
    <w:rsid w:val="00044F97"/>
    <w:rsid w:val="00045CD2"/>
    <w:rsid w:val="000463ED"/>
    <w:rsid w:val="0004689C"/>
    <w:rsid w:val="0004746F"/>
    <w:rsid w:val="00050153"/>
    <w:rsid w:val="00050AC4"/>
    <w:rsid w:val="000511B7"/>
    <w:rsid w:val="000511D8"/>
    <w:rsid w:val="00051405"/>
    <w:rsid w:val="00051766"/>
    <w:rsid w:val="000521AD"/>
    <w:rsid w:val="000525A5"/>
    <w:rsid w:val="00053003"/>
    <w:rsid w:val="000532A5"/>
    <w:rsid w:val="00055E26"/>
    <w:rsid w:val="00057B26"/>
    <w:rsid w:val="00057DD5"/>
    <w:rsid w:val="0006018C"/>
    <w:rsid w:val="000603D3"/>
    <w:rsid w:val="00061D9E"/>
    <w:rsid w:val="00063BA5"/>
    <w:rsid w:val="00064894"/>
    <w:rsid w:val="000668EB"/>
    <w:rsid w:val="00067245"/>
    <w:rsid w:val="000672E2"/>
    <w:rsid w:val="00067B40"/>
    <w:rsid w:val="00070C79"/>
    <w:rsid w:val="00070FA2"/>
    <w:rsid w:val="00071A31"/>
    <w:rsid w:val="000727BE"/>
    <w:rsid w:val="00072DAD"/>
    <w:rsid w:val="000731F9"/>
    <w:rsid w:val="000732DF"/>
    <w:rsid w:val="00073CBC"/>
    <w:rsid w:val="00074C0A"/>
    <w:rsid w:val="000761B9"/>
    <w:rsid w:val="00076ECA"/>
    <w:rsid w:val="00076FA4"/>
    <w:rsid w:val="00077EA7"/>
    <w:rsid w:val="000804C6"/>
    <w:rsid w:val="00080E0E"/>
    <w:rsid w:val="000810C0"/>
    <w:rsid w:val="000814C9"/>
    <w:rsid w:val="00081524"/>
    <w:rsid w:val="00081A8C"/>
    <w:rsid w:val="0008348C"/>
    <w:rsid w:val="0008360C"/>
    <w:rsid w:val="000853F9"/>
    <w:rsid w:val="0008545A"/>
    <w:rsid w:val="00085A47"/>
    <w:rsid w:val="000860FA"/>
    <w:rsid w:val="0008674C"/>
    <w:rsid w:val="00086A5D"/>
    <w:rsid w:val="00087BFE"/>
    <w:rsid w:val="000901D9"/>
    <w:rsid w:val="00093359"/>
    <w:rsid w:val="00093A6D"/>
    <w:rsid w:val="00094181"/>
    <w:rsid w:val="000956F6"/>
    <w:rsid w:val="0009647A"/>
    <w:rsid w:val="000965C1"/>
    <w:rsid w:val="000966F5"/>
    <w:rsid w:val="00096C9F"/>
    <w:rsid w:val="000971A1"/>
    <w:rsid w:val="00097258"/>
    <w:rsid w:val="00097389"/>
    <w:rsid w:val="000A0534"/>
    <w:rsid w:val="000A0BD3"/>
    <w:rsid w:val="000A176D"/>
    <w:rsid w:val="000A1A90"/>
    <w:rsid w:val="000A2585"/>
    <w:rsid w:val="000A25B1"/>
    <w:rsid w:val="000A2EBA"/>
    <w:rsid w:val="000A448F"/>
    <w:rsid w:val="000A513C"/>
    <w:rsid w:val="000A5414"/>
    <w:rsid w:val="000A65CE"/>
    <w:rsid w:val="000A688E"/>
    <w:rsid w:val="000A69B0"/>
    <w:rsid w:val="000A6C2F"/>
    <w:rsid w:val="000A6C7D"/>
    <w:rsid w:val="000A6DB2"/>
    <w:rsid w:val="000A6EB9"/>
    <w:rsid w:val="000A7E08"/>
    <w:rsid w:val="000B0421"/>
    <w:rsid w:val="000B087E"/>
    <w:rsid w:val="000B0CBB"/>
    <w:rsid w:val="000B0E42"/>
    <w:rsid w:val="000B1083"/>
    <w:rsid w:val="000B10D4"/>
    <w:rsid w:val="000B10D8"/>
    <w:rsid w:val="000B1517"/>
    <w:rsid w:val="000B186B"/>
    <w:rsid w:val="000B1A71"/>
    <w:rsid w:val="000B2902"/>
    <w:rsid w:val="000B4754"/>
    <w:rsid w:val="000B4B99"/>
    <w:rsid w:val="000B506B"/>
    <w:rsid w:val="000B5F75"/>
    <w:rsid w:val="000B62A9"/>
    <w:rsid w:val="000B7367"/>
    <w:rsid w:val="000B773A"/>
    <w:rsid w:val="000B7BBC"/>
    <w:rsid w:val="000B7C60"/>
    <w:rsid w:val="000C0B0A"/>
    <w:rsid w:val="000C1876"/>
    <w:rsid w:val="000C1AA7"/>
    <w:rsid w:val="000C1B7F"/>
    <w:rsid w:val="000C1BAA"/>
    <w:rsid w:val="000C2884"/>
    <w:rsid w:val="000C2A1B"/>
    <w:rsid w:val="000C3196"/>
    <w:rsid w:val="000C342E"/>
    <w:rsid w:val="000C3FE0"/>
    <w:rsid w:val="000C4E43"/>
    <w:rsid w:val="000C5D56"/>
    <w:rsid w:val="000C5DD8"/>
    <w:rsid w:val="000D081A"/>
    <w:rsid w:val="000D0AFB"/>
    <w:rsid w:val="000D2053"/>
    <w:rsid w:val="000D20E0"/>
    <w:rsid w:val="000D2292"/>
    <w:rsid w:val="000D29C1"/>
    <w:rsid w:val="000D2C06"/>
    <w:rsid w:val="000D3630"/>
    <w:rsid w:val="000D4B9B"/>
    <w:rsid w:val="000D5D86"/>
    <w:rsid w:val="000D6847"/>
    <w:rsid w:val="000D6C0E"/>
    <w:rsid w:val="000D7857"/>
    <w:rsid w:val="000D78C6"/>
    <w:rsid w:val="000D7AB7"/>
    <w:rsid w:val="000E075A"/>
    <w:rsid w:val="000E0D6E"/>
    <w:rsid w:val="000E0EED"/>
    <w:rsid w:val="000E19AE"/>
    <w:rsid w:val="000E1D47"/>
    <w:rsid w:val="000E2494"/>
    <w:rsid w:val="000E2A81"/>
    <w:rsid w:val="000E37C4"/>
    <w:rsid w:val="000E3AF5"/>
    <w:rsid w:val="000E3EAE"/>
    <w:rsid w:val="000E3EFA"/>
    <w:rsid w:val="000E463D"/>
    <w:rsid w:val="000E49EA"/>
    <w:rsid w:val="000E4C12"/>
    <w:rsid w:val="000E5307"/>
    <w:rsid w:val="000E5CCF"/>
    <w:rsid w:val="000E6C66"/>
    <w:rsid w:val="000E6E0D"/>
    <w:rsid w:val="000E790F"/>
    <w:rsid w:val="000F063B"/>
    <w:rsid w:val="000F08B1"/>
    <w:rsid w:val="000F13CA"/>
    <w:rsid w:val="000F22D1"/>
    <w:rsid w:val="000F32AF"/>
    <w:rsid w:val="000F44E2"/>
    <w:rsid w:val="000F4AD6"/>
    <w:rsid w:val="000F5C07"/>
    <w:rsid w:val="000F6EE6"/>
    <w:rsid w:val="00100789"/>
    <w:rsid w:val="00101152"/>
    <w:rsid w:val="0010200C"/>
    <w:rsid w:val="00102BD0"/>
    <w:rsid w:val="001034FC"/>
    <w:rsid w:val="001038C4"/>
    <w:rsid w:val="00104D16"/>
    <w:rsid w:val="00104DCD"/>
    <w:rsid w:val="00105BFE"/>
    <w:rsid w:val="00106244"/>
    <w:rsid w:val="001063AB"/>
    <w:rsid w:val="00107839"/>
    <w:rsid w:val="00107B9D"/>
    <w:rsid w:val="00110030"/>
    <w:rsid w:val="00110494"/>
    <w:rsid w:val="00111F20"/>
    <w:rsid w:val="0011280F"/>
    <w:rsid w:val="00113326"/>
    <w:rsid w:val="00113704"/>
    <w:rsid w:val="00114800"/>
    <w:rsid w:val="00114C6F"/>
    <w:rsid w:val="00115680"/>
    <w:rsid w:val="0011592F"/>
    <w:rsid w:val="00115C6C"/>
    <w:rsid w:val="00115D02"/>
    <w:rsid w:val="00116A8A"/>
    <w:rsid w:val="00117292"/>
    <w:rsid w:val="00117B67"/>
    <w:rsid w:val="00117BE3"/>
    <w:rsid w:val="001207A1"/>
    <w:rsid w:val="00120C69"/>
    <w:rsid w:val="00121362"/>
    <w:rsid w:val="00122606"/>
    <w:rsid w:val="00122773"/>
    <w:rsid w:val="00122B66"/>
    <w:rsid w:val="00122B86"/>
    <w:rsid w:val="00122E9C"/>
    <w:rsid w:val="001233DA"/>
    <w:rsid w:val="00123556"/>
    <w:rsid w:val="00125251"/>
    <w:rsid w:val="00125E06"/>
    <w:rsid w:val="00125F1F"/>
    <w:rsid w:val="001266A7"/>
    <w:rsid w:val="00126834"/>
    <w:rsid w:val="00126C9D"/>
    <w:rsid w:val="0013080D"/>
    <w:rsid w:val="001316C8"/>
    <w:rsid w:val="00131963"/>
    <w:rsid w:val="001322B1"/>
    <w:rsid w:val="001328EE"/>
    <w:rsid w:val="00132DFC"/>
    <w:rsid w:val="00133005"/>
    <w:rsid w:val="00133154"/>
    <w:rsid w:val="001336F4"/>
    <w:rsid w:val="00133BB2"/>
    <w:rsid w:val="00133CA9"/>
    <w:rsid w:val="00134030"/>
    <w:rsid w:val="001340EC"/>
    <w:rsid w:val="00134107"/>
    <w:rsid w:val="00134243"/>
    <w:rsid w:val="0013442C"/>
    <w:rsid w:val="00134AD3"/>
    <w:rsid w:val="001353A6"/>
    <w:rsid w:val="001354D8"/>
    <w:rsid w:val="001358EE"/>
    <w:rsid w:val="001360E8"/>
    <w:rsid w:val="0014013B"/>
    <w:rsid w:val="00140450"/>
    <w:rsid w:val="001405BC"/>
    <w:rsid w:val="0014131C"/>
    <w:rsid w:val="00142528"/>
    <w:rsid w:val="0014287A"/>
    <w:rsid w:val="00143E75"/>
    <w:rsid w:val="001443CB"/>
    <w:rsid w:val="00144DCF"/>
    <w:rsid w:val="0014548B"/>
    <w:rsid w:val="001478A4"/>
    <w:rsid w:val="00150FD8"/>
    <w:rsid w:val="0015103B"/>
    <w:rsid w:val="00151323"/>
    <w:rsid w:val="00152C78"/>
    <w:rsid w:val="001532E4"/>
    <w:rsid w:val="00153E28"/>
    <w:rsid w:val="0015418A"/>
    <w:rsid w:val="00154DC0"/>
    <w:rsid w:val="00155BA3"/>
    <w:rsid w:val="0015623F"/>
    <w:rsid w:val="00156A66"/>
    <w:rsid w:val="00156F9B"/>
    <w:rsid w:val="001572D0"/>
    <w:rsid w:val="00157595"/>
    <w:rsid w:val="00160520"/>
    <w:rsid w:val="00160695"/>
    <w:rsid w:val="00160EB4"/>
    <w:rsid w:val="00161792"/>
    <w:rsid w:val="0016197B"/>
    <w:rsid w:val="00161A8B"/>
    <w:rsid w:val="00161D91"/>
    <w:rsid w:val="00161F3B"/>
    <w:rsid w:val="001628BF"/>
    <w:rsid w:val="001631F0"/>
    <w:rsid w:val="00163D5D"/>
    <w:rsid w:val="001653CA"/>
    <w:rsid w:val="00165EAF"/>
    <w:rsid w:val="0016689F"/>
    <w:rsid w:val="00167298"/>
    <w:rsid w:val="00167399"/>
    <w:rsid w:val="00167625"/>
    <w:rsid w:val="00167F6B"/>
    <w:rsid w:val="001700B8"/>
    <w:rsid w:val="00171217"/>
    <w:rsid w:val="00171598"/>
    <w:rsid w:val="001718E7"/>
    <w:rsid w:val="0017212A"/>
    <w:rsid w:val="00172B0D"/>
    <w:rsid w:val="00172E16"/>
    <w:rsid w:val="00173B05"/>
    <w:rsid w:val="00175787"/>
    <w:rsid w:val="00175CFC"/>
    <w:rsid w:val="001760D8"/>
    <w:rsid w:val="00176DCE"/>
    <w:rsid w:val="00176FF5"/>
    <w:rsid w:val="00177184"/>
    <w:rsid w:val="00180037"/>
    <w:rsid w:val="0018007E"/>
    <w:rsid w:val="0018035C"/>
    <w:rsid w:val="0018089D"/>
    <w:rsid w:val="00180DFB"/>
    <w:rsid w:val="001820AD"/>
    <w:rsid w:val="001820B9"/>
    <w:rsid w:val="0018389D"/>
    <w:rsid w:val="00185346"/>
    <w:rsid w:val="001857A2"/>
    <w:rsid w:val="00186131"/>
    <w:rsid w:val="0018666B"/>
    <w:rsid w:val="001912FE"/>
    <w:rsid w:val="00191869"/>
    <w:rsid w:val="001924B1"/>
    <w:rsid w:val="001927B4"/>
    <w:rsid w:val="00192A38"/>
    <w:rsid w:val="00192D39"/>
    <w:rsid w:val="00193075"/>
    <w:rsid w:val="0019331B"/>
    <w:rsid w:val="0019378F"/>
    <w:rsid w:val="00194549"/>
    <w:rsid w:val="00195208"/>
    <w:rsid w:val="00195597"/>
    <w:rsid w:val="001958F2"/>
    <w:rsid w:val="00195A3C"/>
    <w:rsid w:val="00197668"/>
    <w:rsid w:val="00197972"/>
    <w:rsid w:val="00197CE6"/>
    <w:rsid w:val="001A0076"/>
    <w:rsid w:val="001A00BE"/>
    <w:rsid w:val="001A04FC"/>
    <w:rsid w:val="001A0779"/>
    <w:rsid w:val="001A1505"/>
    <w:rsid w:val="001A308D"/>
    <w:rsid w:val="001A31B2"/>
    <w:rsid w:val="001A3744"/>
    <w:rsid w:val="001A3A47"/>
    <w:rsid w:val="001A3AE2"/>
    <w:rsid w:val="001A45FB"/>
    <w:rsid w:val="001A4633"/>
    <w:rsid w:val="001A4DCC"/>
    <w:rsid w:val="001A5E96"/>
    <w:rsid w:val="001A639B"/>
    <w:rsid w:val="001A6729"/>
    <w:rsid w:val="001A6F66"/>
    <w:rsid w:val="001A72C6"/>
    <w:rsid w:val="001A792A"/>
    <w:rsid w:val="001A796F"/>
    <w:rsid w:val="001A7A17"/>
    <w:rsid w:val="001A7D7F"/>
    <w:rsid w:val="001A7DF0"/>
    <w:rsid w:val="001B1EFA"/>
    <w:rsid w:val="001B2507"/>
    <w:rsid w:val="001B2B33"/>
    <w:rsid w:val="001B2D5F"/>
    <w:rsid w:val="001B302D"/>
    <w:rsid w:val="001B4AC6"/>
    <w:rsid w:val="001B4C67"/>
    <w:rsid w:val="001B58CD"/>
    <w:rsid w:val="001B603A"/>
    <w:rsid w:val="001B7097"/>
    <w:rsid w:val="001B73DC"/>
    <w:rsid w:val="001C09FB"/>
    <w:rsid w:val="001C17D4"/>
    <w:rsid w:val="001C1A0A"/>
    <w:rsid w:val="001C1C96"/>
    <w:rsid w:val="001C1F91"/>
    <w:rsid w:val="001C20E8"/>
    <w:rsid w:val="001C2543"/>
    <w:rsid w:val="001C3E76"/>
    <w:rsid w:val="001C4A3A"/>
    <w:rsid w:val="001C5406"/>
    <w:rsid w:val="001C56BC"/>
    <w:rsid w:val="001C5991"/>
    <w:rsid w:val="001C6998"/>
    <w:rsid w:val="001C7EFB"/>
    <w:rsid w:val="001C7F68"/>
    <w:rsid w:val="001D0010"/>
    <w:rsid w:val="001D003F"/>
    <w:rsid w:val="001D0ABB"/>
    <w:rsid w:val="001D0E38"/>
    <w:rsid w:val="001D0F6E"/>
    <w:rsid w:val="001D156C"/>
    <w:rsid w:val="001D16ED"/>
    <w:rsid w:val="001D38D6"/>
    <w:rsid w:val="001D5F2B"/>
    <w:rsid w:val="001D641D"/>
    <w:rsid w:val="001D7FC6"/>
    <w:rsid w:val="001E03DC"/>
    <w:rsid w:val="001E05EB"/>
    <w:rsid w:val="001E09BD"/>
    <w:rsid w:val="001E0D4C"/>
    <w:rsid w:val="001E2A95"/>
    <w:rsid w:val="001E2D53"/>
    <w:rsid w:val="001E4423"/>
    <w:rsid w:val="001E4869"/>
    <w:rsid w:val="001E4DEB"/>
    <w:rsid w:val="001E5168"/>
    <w:rsid w:val="001E716E"/>
    <w:rsid w:val="001E7A0A"/>
    <w:rsid w:val="001E7B44"/>
    <w:rsid w:val="001E7F5D"/>
    <w:rsid w:val="001F0237"/>
    <w:rsid w:val="001F09D3"/>
    <w:rsid w:val="001F0A1E"/>
    <w:rsid w:val="001F0AF3"/>
    <w:rsid w:val="001F11AC"/>
    <w:rsid w:val="001F126A"/>
    <w:rsid w:val="001F16BE"/>
    <w:rsid w:val="001F1B26"/>
    <w:rsid w:val="001F218B"/>
    <w:rsid w:val="001F279A"/>
    <w:rsid w:val="001F28B1"/>
    <w:rsid w:val="001F3B5F"/>
    <w:rsid w:val="001F3BAC"/>
    <w:rsid w:val="001F4BF4"/>
    <w:rsid w:val="001F55E4"/>
    <w:rsid w:val="001F5B8F"/>
    <w:rsid w:val="001F5E37"/>
    <w:rsid w:val="001F6AC3"/>
    <w:rsid w:val="001F6C7C"/>
    <w:rsid w:val="001F7282"/>
    <w:rsid w:val="001F759E"/>
    <w:rsid w:val="00200828"/>
    <w:rsid w:val="00200ABD"/>
    <w:rsid w:val="00200BAF"/>
    <w:rsid w:val="002011F9"/>
    <w:rsid w:val="0020148C"/>
    <w:rsid w:val="002014B2"/>
    <w:rsid w:val="002018BD"/>
    <w:rsid w:val="002018CB"/>
    <w:rsid w:val="00202641"/>
    <w:rsid w:val="0020270E"/>
    <w:rsid w:val="00202886"/>
    <w:rsid w:val="00202975"/>
    <w:rsid w:val="002039B7"/>
    <w:rsid w:val="002041B1"/>
    <w:rsid w:val="00204B32"/>
    <w:rsid w:val="00204EC8"/>
    <w:rsid w:val="002055D3"/>
    <w:rsid w:val="00205A9F"/>
    <w:rsid w:val="00206AE3"/>
    <w:rsid w:val="00207852"/>
    <w:rsid w:val="00211ED5"/>
    <w:rsid w:val="00212EFD"/>
    <w:rsid w:val="0021337D"/>
    <w:rsid w:val="00214447"/>
    <w:rsid w:val="00214701"/>
    <w:rsid w:val="00214BF1"/>
    <w:rsid w:val="0021504A"/>
    <w:rsid w:val="00215794"/>
    <w:rsid w:val="00215A6F"/>
    <w:rsid w:val="0021621A"/>
    <w:rsid w:val="0021783D"/>
    <w:rsid w:val="00217AC3"/>
    <w:rsid w:val="00217B40"/>
    <w:rsid w:val="00217C67"/>
    <w:rsid w:val="002202CC"/>
    <w:rsid w:val="00220B85"/>
    <w:rsid w:val="00220D9C"/>
    <w:rsid w:val="00221274"/>
    <w:rsid w:val="00221349"/>
    <w:rsid w:val="0022170D"/>
    <w:rsid w:val="00221789"/>
    <w:rsid w:val="00221928"/>
    <w:rsid w:val="00221F1D"/>
    <w:rsid w:val="00223055"/>
    <w:rsid w:val="00223859"/>
    <w:rsid w:val="00224585"/>
    <w:rsid w:val="00224697"/>
    <w:rsid w:val="00224FB8"/>
    <w:rsid w:val="00226DEB"/>
    <w:rsid w:val="00227B2A"/>
    <w:rsid w:val="00227FBC"/>
    <w:rsid w:val="00230754"/>
    <w:rsid w:val="00231187"/>
    <w:rsid w:val="00231DE0"/>
    <w:rsid w:val="00231E3E"/>
    <w:rsid w:val="00231E55"/>
    <w:rsid w:val="00232A4D"/>
    <w:rsid w:val="00232F18"/>
    <w:rsid w:val="00233736"/>
    <w:rsid w:val="00233EDF"/>
    <w:rsid w:val="00234ADB"/>
    <w:rsid w:val="00235EE7"/>
    <w:rsid w:val="0023679C"/>
    <w:rsid w:val="002373C1"/>
    <w:rsid w:val="00237C60"/>
    <w:rsid w:val="00237E15"/>
    <w:rsid w:val="002401FD"/>
    <w:rsid w:val="00240B78"/>
    <w:rsid w:val="00241554"/>
    <w:rsid w:val="00241D0D"/>
    <w:rsid w:val="00241EB9"/>
    <w:rsid w:val="00242542"/>
    <w:rsid w:val="00242607"/>
    <w:rsid w:val="00243AD2"/>
    <w:rsid w:val="002444CE"/>
    <w:rsid w:val="00244C36"/>
    <w:rsid w:val="002455A8"/>
    <w:rsid w:val="002471D7"/>
    <w:rsid w:val="00247208"/>
    <w:rsid w:val="00247A5F"/>
    <w:rsid w:val="002508C0"/>
    <w:rsid w:val="0025151B"/>
    <w:rsid w:val="00251D0D"/>
    <w:rsid w:val="00251FD1"/>
    <w:rsid w:val="00252E40"/>
    <w:rsid w:val="002530E9"/>
    <w:rsid w:val="0025413F"/>
    <w:rsid w:val="002543DA"/>
    <w:rsid w:val="002544D1"/>
    <w:rsid w:val="0025500C"/>
    <w:rsid w:val="00255042"/>
    <w:rsid w:val="00255E39"/>
    <w:rsid w:val="00256307"/>
    <w:rsid w:val="002566B0"/>
    <w:rsid w:val="00256734"/>
    <w:rsid w:val="002572FD"/>
    <w:rsid w:val="00257AFA"/>
    <w:rsid w:val="00257B96"/>
    <w:rsid w:val="00262391"/>
    <w:rsid w:val="00262412"/>
    <w:rsid w:val="00262946"/>
    <w:rsid w:val="0026347A"/>
    <w:rsid w:val="00263A89"/>
    <w:rsid w:val="00264917"/>
    <w:rsid w:val="00264ED4"/>
    <w:rsid w:val="00264F52"/>
    <w:rsid w:val="00266104"/>
    <w:rsid w:val="0026619F"/>
    <w:rsid w:val="002662DD"/>
    <w:rsid w:val="002667F1"/>
    <w:rsid w:val="002672FB"/>
    <w:rsid w:val="00267420"/>
    <w:rsid w:val="002679DD"/>
    <w:rsid w:val="00270156"/>
    <w:rsid w:val="00270F8B"/>
    <w:rsid w:val="00271406"/>
    <w:rsid w:val="00272CED"/>
    <w:rsid w:val="002737F5"/>
    <w:rsid w:val="00273AF1"/>
    <w:rsid w:val="0027509F"/>
    <w:rsid w:val="002750EE"/>
    <w:rsid w:val="002765DB"/>
    <w:rsid w:val="002767C4"/>
    <w:rsid w:val="00276D73"/>
    <w:rsid w:val="00277C61"/>
    <w:rsid w:val="00281394"/>
    <w:rsid w:val="00282615"/>
    <w:rsid w:val="00283F5B"/>
    <w:rsid w:val="002842D2"/>
    <w:rsid w:val="0028594B"/>
    <w:rsid w:val="00287276"/>
    <w:rsid w:val="00287305"/>
    <w:rsid w:val="00287CF8"/>
    <w:rsid w:val="0029129C"/>
    <w:rsid w:val="00291B34"/>
    <w:rsid w:val="00291D74"/>
    <w:rsid w:val="00292364"/>
    <w:rsid w:val="00292515"/>
    <w:rsid w:val="00292536"/>
    <w:rsid w:val="0029292E"/>
    <w:rsid w:val="002930D2"/>
    <w:rsid w:val="002934DC"/>
    <w:rsid w:val="00294B26"/>
    <w:rsid w:val="00294DA1"/>
    <w:rsid w:val="00295DCE"/>
    <w:rsid w:val="002961B0"/>
    <w:rsid w:val="002962A0"/>
    <w:rsid w:val="00296BFB"/>
    <w:rsid w:val="00296F45"/>
    <w:rsid w:val="00297355"/>
    <w:rsid w:val="00297451"/>
    <w:rsid w:val="00297ADA"/>
    <w:rsid w:val="002A025E"/>
    <w:rsid w:val="002A1679"/>
    <w:rsid w:val="002A203E"/>
    <w:rsid w:val="002A298E"/>
    <w:rsid w:val="002A2A20"/>
    <w:rsid w:val="002A2CB0"/>
    <w:rsid w:val="002A3861"/>
    <w:rsid w:val="002A51BD"/>
    <w:rsid w:val="002A5667"/>
    <w:rsid w:val="002A65BC"/>
    <w:rsid w:val="002A714D"/>
    <w:rsid w:val="002A7303"/>
    <w:rsid w:val="002A74D4"/>
    <w:rsid w:val="002B01C0"/>
    <w:rsid w:val="002B11E7"/>
    <w:rsid w:val="002B1305"/>
    <w:rsid w:val="002B1FB0"/>
    <w:rsid w:val="002B22FB"/>
    <w:rsid w:val="002B27E8"/>
    <w:rsid w:val="002B39B6"/>
    <w:rsid w:val="002B39FF"/>
    <w:rsid w:val="002B474F"/>
    <w:rsid w:val="002B4865"/>
    <w:rsid w:val="002B5983"/>
    <w:rsid w:val="002B5AF3"/>
    <w:rsid w:val="002B65B7"/>
    <w:rsid w:val="002B703B"/>
    <w:rsid w:val="002B70B8"/>
    <w:rsid w:val="002C01AF"/>
    <w:rsid w:val="002C0335"/>
    <w:rsid w:val="002C06FC"/>
    <w:rsid w:val="002C0C84"/>
    <w:rsid w:val="002C106D"/>
    <w:rsid w:val="002C212A"/>
    <w:rsid w:val="002C2269"/>
    <w:rsid w:val="002C2BBF"/>
    <w:rsid w:val="002C2D7D"/>
    <w:rsid w:val="002C31BC"/>
    <w:rsid w:val="002C3633"/>
    <w:rsid w:val="002C38F7"/>
    <w:rsid w:val="002C3C82"/>
    <w:rsid w:val="002C3ED7"/>
    <w:rsid w:val="002C4E6E"/>
    <w:rsid w:val="002C4EAC"/>
    <w:rsid w:val="002C53EC"/>
    <w:rsid w:val="002C5CED"/>
    <w:rsid w:val="002C5D3A"/>
    <w:rsid w:val="002D0C61"/>
    <w:rsid w:val="002D14D7"/>
    <w:rsid w:val="002D17A3"/>
    <w:rsid w:val="002D1BED"/>
    <w:rsid w:val="002D1E7A"/>
    <w:rsid w:val="002D23E9"/>
    <w:rsid w:val="002D24CA"/>
    <w:rsid w:val="002D3034"/>
    <w:rsid w:val="002D371F"/>
    <w:rsid w:val="002D3889"/>
    <w:rsid w:val="002D3985"/>
    <w:rsid w:val="002D399E"/>
    <w:rsid w:val="002D3A14"/>
    <w:rsid w:val="002D3F89"/>
    <w:rsid w:val="002D409A"/>
    <w:rsid w:val="002D43D9"/>
    <w:rsid w:val="002D49FC"/>
    <w:rsid w:val="002D4C4B"/>
    <w:rsid w:val="002D501F"/>
    <w:rsid w:val="002E0D67"/>
    <w:rsid w:val="002E1658"/>
    <w:rsid w:val="002E1691"/>
    <w:rsid w:val="002E211A"/>
    <w:rsid w:val="002E23BE"/>
    <w:rsid w:val="002E26BB"/>
    <w:rsid w:val="002E2B33"/>
    <w:rsid w:val="002E335C"/>
    <w:rsid w:val="002E3775"/>
    <w:rsid w:val="002E3977"/>
    <w:rsid w:val="002E4747"/>
    <w:rsid w:val="002E548A"/>
    <w:rsid w:val="002E5578"/>
    <w:rsid w:val="002E634B"/>
    <w:rsid w:val="002E6EDA"/>
    <w:rsid w:val="002E7CA0"/>
    <w:rsid w:val="002F009A"/>
    <w:rsid w:val="002F0521"/>
    <w:rsid w:val="002F053A"/>
    <w:rsid w:val="002F0776"/>
    <w:rsid w:val="002F12DF"/>
    <w:rsid w:val="002F1B86"/>
    <w:rsid w:val="002F207C"/>
    <w:rsid w:val="002F247C"/>
    <w:rsid w:val="002F3236"/>
    <w:rsid w:val="002F4355"/>
    <w:rsid w:val="002F49E6"/>
    <w:rsid w:val="002F5E21"/>
    <w:rsid w:val="002F6135"/>
    <w:rsid w:val="002F6B1C"/>
    <w:rsid w:val="002F6BA6"/>
    <w:rsid w:val="002F6BE7"/>
    <w:rsid w:val="002F716B"/>
    <w:rsid w:val="002F7DB1"/>
    <w:rsid w:val="00300527"/>
    <w:rsid w:val="00300ABE"/>
    <w:rsid w:val="00301F0A"/>
    <w:rsid w:val="00302F4D"/>
    <w:rsid w:val="00303261"/>
    <w:rsid w:val="00303E37"/>
    <w:rsid w:val="0030454D"/>
    <w:rsid w:val="003048D8"/>
    <w:rsid w:val="003049E6"/>
    <w:rsid w:val="00304F86"/>
    <w:rsid w:val="003056CF"/>
    <w:rsid w:val="003075AD"/>
    <w:rsid w:val="00310481"/>
    <w:rsid w:val="00310904"/>
    <w:rsid w:val="0031095E"/>
    <w:rsid w:val="00310A9C"/>
    <w:rsid w:val="00310AB6"/>
    <w:rsid w:val="00310B14"/>
    <w:rsid w:val="00313379"/>
    <w:rsid w:val="00313F4B"/>
    <w:rsid w:val="00313FD5"/>
    <w:rsid w:val="00314C25"/>
    <w:rsid w:val="00315379"/>
    <w:rsid w:val="003159E6"/>
    <w:rsid w:val="00315BDA"/>
    <w:rsid w:val="0031604D"/>
    <w:rsid w:val="003161E0"/>
    <w:rsid w:val="00321DF1"/>
    <w:rsid w:val="00322666"/>
    <w:rsid w:val="00322667"/>
    <w:rsid w:val="003231A3"/>
    <w:rsid w:val="00323A05"/>
    <w:rsid w:val="00323B77"/>
    <w:rsid w:val="00324250"/>
    <w:rsid w:val="003247EE"/>
    <w:rsid w:val="00324873"/>
    <w:rsid w:val="00325A3E"/>
    <w:rsid w:val="00325BC1"/>
    <w:rsid w:val="00325E6C"/>
    <w:rsid w:val="003262E3"/>
    <w:rsid w:val="003262FD"/>
    <w:rsid w:val="0032794A"/>
    <w:rsid w:val="00327B83"/>
    <w:rsid w:val="00327D06"/>
    <w:rsid w:val="003304AC"/>
    <w:rsid w:val="00330C2E"/>
    <w:rsid w:val="00330C33"/>
    <w:rsid w:val="00330D81"/>
    <w:rsid w:val="00330E6C"/>
    <w:rsid w:val="00331047"/>
    <w:rsid w:val="003312A1"/>
    <w:rsid w:val="00331433"/>
    <w:rsid w:val="00331850"/>
    <w:rsid w:val="00331FFD"/>
    <w:rsid w:val="003331AD"/>
    <w:rsid w:val="003339B9"/>
    <w:rsid w:val="00333C40"/>
    <w:rsid w:val="00333E14"/>
    <w:rsid w:val="003349C5"/>
    <w:rsid w:val="003368A6"/>
    <w:rsid w:val="00336907"/>
    <w:rsid w:val="00336A4B"/>
    <w:rsid w:val="00336F72"/>
    <w:rsid w:val="003376A6"/>
    <w:rsid w:val="0033779C"/>
    <w:rsid w:val="00337CC9"/>
    <w:rsid w:val="00337F88"/>
    <w:rsid w:val="00340534"/>
    <w:rsid w:val="003407A3"/>
    <w:rsid w:val="003407D5"/>
    <w:rsid w:val="00340953"/>
    <w:rsid w:val="00341B89"/>
    <w:rsid w:val="003428A5"/>
    <w:rsid w:val="00342D62"/>
    <w:rsid w:val="003430A5"/>
    <w:rsid w:val="00343958"/>
    <w:rsid w:val="00344BE8"/>
    <w:rsid w:val="00344EAD"/>
    <w:rsid w:val="00345199"/>
    <w:rsid w:val="00345E5B"/>
    <w:rsid w:val="00345F3B"/>
    <w:rsid w:val="00346377"/>
    <w:rsid w:val="003463F1"/>
    <w:rsid w:val="00347606"/>
    <w:rsid w:val="00350C16"/>
    <w:rsid w:val="00350CCB"/>
    <w:rsid w:val="003514C1"/>
    <w:rsid w:val="003529DF"/>
    <w:rsid w:val="00352B32"/>
    <w:rsid w:val="00353B58"/>
    <w:rsid w:val="00354BFA"/>
    <w:rsid w:val="003551F2"/>
    <w:rsid w:val="00355AB9"/>
    <w:rsid w:val="00356657"/>
    <w:rsid w:val="00356776"/>
    <w:rsid w:val="00357119"/>
    <w:rsid w:val="00357D43"/>
    <w:rsid w:val="00360705"/>
    <w:rsid w:val="00360A48"/>
    <w:rsid w:val="00360C1E"/>
    <w:rsid w:val="003644AE"/>
    <w:rsid w:val="0036487E"/>
    <w:rsid w:val="00364AFE"/>
    <w:rsid w:val="00364F65"/>
    <w:rsid w:val="00365CA8"/>
    <w:rsid w:val="00365D1E"/>
    <w:rsid w:val="00366021"/>
    <w:rsid w:val="003669F3"/>
    <w:rsid w:val="0036774C"/>
    <w:rsid w:val="00367A86"/>
    <w:rsid w:val="003706D5"/>
    <w:rsid w:val="00371728"/>
    <w:rsid w:val="00371D3D"/>
    <w:rsid w:val="00372974"/>
    <w:rsid w:val="00372BE9"/>
    <w:rsid w:val="00372D8B"/>
    <w:rsid w:val="00373734"/>
    <w:rsid w:val="00374502"/>
    <w:rsid w:val="00374803"/>
    <w:rsid w:val="003749B4"/>
    <w:rsid w:val="00375584"/>
    <w:rsid w:val="003755C5"/>
    <w:rsid w:val="00375AA3"/>
    <w:rsid w:val="00375ADE"/>
    <w:rsid w:val="00376162"/>
    <w:rsid w:val="00380A3A"/>
    <w:rsid w:val="00380C19"/>
    <w:rsid w:val="00380C22"/>
    <w:rsid w:val="00380D36"/>
    <w:rsid w:val="00380DC3"/>
    <w:rsid w:val="00380EFD"/>
    <w:rsid w:val="003812EB"/>
    <w:rsid w:val="0038150D"/>
    <w:rsid w:val="0038281F"/>
    <w:rsid w:val="00383FDD"/>
    <w:rsid w:val="003845F2"/>
    <w:rsid w:val="0038522B"/>
    <w:rsid w:val="00385DE8"/>
    <w:rsid w:val="003872EA"/>
    <w:rsid w:val="00387EC9"/>
    <w:rsid w:val="00390CC1"/>
    <w:rsid w:val="00391044"/>
    <w:rsid w:val="003913EA"/>
    <w:rsid w:val="00391F5A"/>
    <w:rsid w:val="00392156"/>
    <w:rsid w:val="003928A5"/>
    <w:rsid w:val="00392908"/>
    <w:rsid w:val="00392A98"/>
    <w:rsid w:val="00393385"/>
    <w:rsid w:val="00394944"/>
    <w:rsid w:val="003954DE"/>
    <w:rsid w:val="00395C04"/>
    <w:rsid w:val="0039683F"/>
    <w:rsid w:val="00396EB2"/>
    <w:rsid w:val="003A04B4"/>
    <w:rsid w:val="003A0E30"/>
    <w:rsid w:val="003A0EED"/>
    <w:rsid w:val="003A13BC"/>
    <w:rsid w:val="003A1CC6"/>
    <w:rsid w:val="003A2E49"/>
    <w:rsid w:val="003A3012"/>
    <w:rsid w:val="003A429F"/>
    <w:rsid w:val="003A43FD"/>
    <w:rsid w:val="003A4AB9"/>
    <w:rsid w:val="003A4AD9"/>
    <w:rsid w:val="003A6547"/>
    <w:rsid w:val="003A6618"/>
    <w:rsid w:val="003B07D7"/>
    <w:rsid w:val="003B1503"/>
    <w:rsid w:val="003B17AE"/>
    <w:rsid w:val="003B1B1F"/>
    <w:rsid w:val="003B1B82"/>
    <w:rsid w:val="003B2479"/>
    <w:rsid w:val="003B50EA"/>
    <w:rsid w:val="003B5364"/>
    <w:rsid w:val="003B5463"/>
    <w:rsid w:val="003B54F3"/>
    <w:rsid w:val="003B5B5D"/>
    <w:rsid w:val="003B6F9C"/>
    <w:rsid w:val="003C01D0"/>
    <w:rsid w:val="003C031A"/>
    <w:rsid w:val="003C035F"/>
    <w:rsid w:val="003C1292"/>
    <w:rsid w:val="003C1419"/>
    <w:rsid w:val="003C20F6"/>
    <w:rsid w:val="003C25DA"/>
    <w:rsid w:val="003C468C"/>
    <w:rsid w:val="003C4700"/>
    <w:rsid w:val="003C62DC"/>
    <w:rsid w:val="003C6963"/>
    <w:rsid w:val="003C752D"/>
    <w:rsid w:val="003C77E9"/>
    <w:rsid w:val="003D022B"/>
    <w:rsid w:val="003D0B17"/>
    <w:rsid w:val="003D0E2F"/>
    <w:rsid w:val="003D1185"/>
    <w:rsid w:val="003D1BA8"/>
    <w:rsid w:val="003D1FB3"/>
    <w:rsid w:val="003D2486"/>
    <w:rsid w:val="003D2B08"/>
    <w:rsid w:val="003D3B2C"/>
    <w:rsid w:val="003D5069"/>
    <w:rsid w:val="003D5489"/>
    <w:rsid w:val="003D5E43"/>
    <w:rsid w:val="003D5EC6"/>
    <w:rsid w:val="003D5F8B"/>
    <w:rsid w:val="003D6942"/>
    <w:rsid w:val="003E0F41"/>
    <w:rsid w:val="003E1045"/>
    <w:rsid w:val="003E124E"/>
    <w:rsid w:val="003E12E4"/>
    <w:rsid w:val="003E1354"/>
    <w:rsid w:val="003E15CC"/>
    <w:rsid w:val="003E1A5B"/>
    <w:rsid w:val="003E1CE7"/>
    <w:rsid w:val="003E3433"/>
    <w:rsid w:val="003E44D3"/>
    <w:rsid w:val="003E45CF"/>
    <w:rsid w:val="003E5471"/>
    <w:rsid w:val="003E5624"/>
    <w:rsid w:val="003E5C4A"/>
    <w:rsid w:val="003E61A4"/>
    <w:rsid w:val="003E624A"/>
    <w:rsid w:val="003E6334"/>
    <w:rsid w:val="003E67F4"/>
    <w:rsid w:val="003E6FA7"/>
    <w:rsid w:val="003E7133"/>
    <w:rsid w:val="003F0A4B"/>
    <w:rsid w:val="003F17F6"/>
    <w:rsid w:val="003F1B98"/>
    <w:rsid w:val="003F1D3C"/>
    <w:rsid w:val="003F1F1D"/>
    <w:rsid w:val="003F2AD1"/>
    <w:rsid w:val="003F2CAB"/>
    <w:rsid w:val="003F360B"/>
    <w:rsid w:val="003F386C"/>
    <w:rsid w:val="003F3E92"/>
    <w:rsid w:val="003F418C"/>
    <w:rsid w:val="003F42E5"/>
    <w:rsid w:val="003F4E4F"/>
    <w:rsid w:val="003F5238"/>
    <w:rsid w:val="003F5BBC"/>
    <w:rsid w:val="003F5F25"/>
    <w:rsid w:val="004003A5"/>
    <w:rsid w:val="0040082D"/>
    <w:rsid w:val="004010BE"/>
    <w:rsid w:val="00402BD2"/>
    <w:rsid w:val="004035C6"/>
    <w:rsid w:val="00404CDB"/>
    <w:rsid w:val="00404E8E"/>
    <w:rsid w:val="00405080"/>
    <w:rsid w:val="004059AC"/>
    <w:rsid w:val="00406260"/>
    <w:rsid w:val="0040634A"/>
    <w:rsid w:val="00406EE0"/>
    <w:rsid w:val="00406FC1"/>
    <w:rsid w:val="00407028"/>
    <w:rsid w:val="00407AFC"/>
    <w:rsid w:val="00411537"/>
    <w:rsid w:val="00412882"/>
    <w:rsid w:val="004128A1"/>
    <w:rsid w:val="00412DBE"/>
    <w:rsid w:val="00413829"/>
    <w:rsid w:val="00413A2E"/>
    <w:rsid w:val="00413DFC"/>
    <w:rsid w:val="00414C02"/>
    <w:rsid w:val="00414EE7"/>
    <w:rsid w:val="004150FC"/>
    <w:rsid w:val="00415427"/>
    <w:rsid w:val="00415471"/>
    <w:rsid w:val="004168EB"/>
    <w:rsid w:val="00416F5B"/>
    <w:rsid w:val="0041746F"/>
    <w:rsid w:val="00420245"/>
    <w:rsid w:val="0042031E"/>
    <w:rsid w:val="004217E5"/>
    <w:rsid w:val="00421809"/>
    <w:rsid w:val="00422719"/>
    <w:rsid w:val="00422D81"/>
    <w:rsid w:val="00422E69"/>
    <w:rsid w:val="00423177"/>
    <w:rsid w:val="004236FD"/>
    <w:rsid w:val="00424B27"/>
    <w:rsid w:val="00424CB6"/>
    <w:rsid w:val="00424EC8"/>
    <w:rsid w:val="00425F0E"/>
    <w:rsid w:val="00425F9D"/>
    <w:rsid w:val="00426505"/>
    <w:rsid w:val="00426A65"/>
    <w:rsid w:val="004270A3"/>
    <w:rsid w:val="00427845"/>
    <w:rsid w:val="004309A7"/>
    <w:rsid w:val="00430C27"/>
    <w:rsid w:val="00432FFD"/>
    <w:rsid w:val="00433572"/>
    <w:rsid w:val="00433949"/>
    <w:rsid w:val="00433BFE"/>
    <w:rsid w:val="00435605"/>
    <w:rsid w:val="0043568B"/>
    <w:rsid w:val="004365EE"/>
    <w:rsid w:val="00436865"/>
    <w:rsid w:val="00436F7E"/>
    <w:rsid w:val="0043739F"/>
    <w:rsid w:val="00437CD8"/>
    <w:rsid w:val="00440B7B"/>
    <w:rsid w:val="004419B2"/>
    <w:rsid w:val="00441C59"/>
    <w:rsid w:val="00443C51"/>
    <w:rsid w:val="00445FFA"/>
    <w:rsid w:val="004464BD"/>
    <w:rsid w:val="00446776"/>
    <w:rsid w:val="00447FC7"/>
    <w:rsid w:val="0045002A"/>
    <w:rsid w:val="00450E9D"/>
    <w:rsid w:val="00450FAA"/>
    <w:rsid w:val="00451BA7"/>
    <w:rsid w:val="00451F72"/>
    <w:rsid w:val="00452CF6"/>
    <w:rsid w:val="00453036"/>
    <w:rsid w:val="0045308A"/>
    <w:rsid w:val="00453250"/>
    <w:rsid w:val="004538ED"/>
    <w:rsid w:val="004538F3"/>
    <w:rsid w:val="00454859"/>
    <w:rsid w:val="00454FB0"/>
    <w:rsid w:val="00455433"/>
    <w:rsid w:val="00455EFD"/>
    <w:rsid w:val="0045677D"/>
    <w:rsid w:val="004572F0"/>
    <w:rsid w:val="00457FEE"/>
    <w:rsid w:val="0046094B"/>
    <w:rsid w:val="00460B83"/>
    <w:rsid w:val="00460FFA"/>
    <w:rsid w:val="00462766"/>
    <w:rsid w:val="00462921"/>
    <w:rsid w:val="00462A51"/>
    <w:rsid w:val="00462D14"/>
    <w:rsid w:val="00463085"/>
    <w:rsid w:val="00463A18"/>
    <w:rsid w:val="00463C2B"/>
    <w:rsid w:val="0046447F"/>
    <w:rsid w:val="00465C42"/>
    <w:rsid w:val="00465E44"/>
    <w:rsid w:val="0046630C"/>
    <w:rsid w:val="00466B52"/>
    <w:rsid w:val="00467988"/>
    <w:rsid w:val="00470D46"/>
    <w:rsid w:val="00471BC0"/>
    <w:rsid w:val="00471FBE"/>
    <w:rsid w:val="00472C56"/>
    <w:rsid w:val="0047310D"/>
    <w:rsid w:val="00474C17"/>
    <w:rsid w:val="00475641"/>
    <w:rsid w:val="00475A80"/>
    <w:rsid w:val="004766DB"/>
    <w:rsid w:val="00476F0C"/>
    <w:rsid w:val="00477B98"/>
    <w:rsid w:val="00477CAC"/>
    <w:rsid w:val="00480859"/>
    <w:rsid w:val="00480877"/>
    <w:rsid w:val="004808AF"/>
    <w:rsid w:val="00480B5F"/>
    <w:rsid w:val="00481196"/>
    <w:rsid w:val="0048157B"/>
    <w:rsid w:val="0048182B"/>
    <w:rsid w:val="00482382"/>
    <w:rsid w:val="00482590"/>
    <w:rsid w:val="004825F9"/>
    <w:rsid w:val="0048314D"/>
    <w:rsid w:val="004839E1"/>
    <w:rsid w:val="00483CF2"/>
    <w:rsid w:val="00483D0F"/>
    <w:rsid w:val="004851E7"/>
    <w:rsid w:val="0048612F"/>
    <w:rsid w:val="00486560"/>
    <w:rsid w:val="00486826"/>
    <w:rsid w:val="0048774D"/>
    <w:rsid w:val="00487FBA"/>
    <w:rsid w:val="00490322"/>
    <w:rsid w:val="00490D51"/>
    <w:rsid w:val="00490D67"/>
    <w:rsid w:val="00490FA5"/>
    <w:rsid w:val="004914EC"/>
    <w:rsid w:val="00491686"/>
    <w:rsid w:val="00492985"/>
    <w:rsid w:val="004929E2"/>
    <w:rsid w:val="00492D42"/>
    <w:rsid w:val="00493857"/>
    <w:rsid w:val="00494192"/>
    <w:rsid w:val="0049436B"/>
    <w:rsid w:val="004943BF"/>
    <w:rsid w:val="00495B14"/>
    <w:rsid w:val="00495D9C"/>
    <w:rsid w:val="0049681F"/>
    <w:rsid w:val="0049725E"/>
    <w:rsid w:val="00497C51"/>
    <w:rsid w:val="004A02A1"/>
    <w:rsid w:val="004A114F"/>
    <w:rsid w:val="004A1CF0"/>
    <w:rsid w:val="004A1F10"/>
    <w:rsid w:val="004A283B"/>
    <w:rsid w:val="004A4D72"/>
    <w:rsid w:val="004A5220"/>
    <w:rsid w:val="004A5EA1"/>
    <w:rsid w:val="004A5EC0"/>
    <w:rsid w:val="004A6637"/>
    <w:rsid w:val="004A6930"/>
    <w:rsid w:val="004A6A0E"/>
    <w:rsid w:val="004A7E6A"/>
    <w:rsid w:val="004B019F"/>
    <w:rsid w:val="004B0B32"/>
    <w:rsid w:val="004B121D"/>
    <w:rsid w:val="004B25AD"/>
    <w:rsid w:val="004B3EE9"/>
    <w:rsid w:val="004B41AD"/>
    <w:rsid w:val="004B5F03"/>
    <w:rsid w:val="004B7090"/>
    <w:rsid w:val="004B7217"/>
    <w:rsid w:val="004B747F"/>
    <w:rsid w:val="004B7AA0"/>
    <w:rsid w:val="004B7B89"/>
    <w:rsid w:val="004C037A"/>
    <w:rsid w:val="004C087C"/>
    <w:rsid w:val="004C1595"/>
    <w:rsid w:val="004C15CC"/>
    <w:rsid w:val="004C210D"/>
    <w:rsid w:val="004C2AEF"/>
    <w:rsid w:val="004C3037"/>
    <w:rsid w:val="004C361A"/>
    <w:rsid w:val="004C4218"/>
    <w:rsid w:val="004C45AC"/>
    <w:rsid w:val="004C4F4E"/>
    <w:rsid w:val="004C5097"/>
    <w:rsid w:val="004C5215"/>
    <w:rsid w:val="004C6023"/>
    <w:rsid w:val="004C61FF"/>
    <w:rsid w:val="004C640B"/>
    <w:rsid w:val="004C64D4"/>
    <w:rsid w:val="004C66C9"/>
    <w:rsid w:val="004C73DB"/>
    <w:rsid w:val="004C7BF6"/>
    <w:rsid w:val="004D0BBB"/>
    <w:rsid w:val="004D113B"/>
    <w:rsid w:val="004D1553"/>
    <w:rsid w:val="004D1852"/>
    <w:rsid w:val="004D2402"/>
    <w:rsid w:val="004D2B3A"/>
    <w:rsid w:val="004D2EA1"/>
    <w:rsid w:val="004D3056"/>
    <w:rsid w:val="004D3B4C"/>
    <w:rsid w:val="004D3E6C"/>
    <w:rsid w:val="004D4057"/>
    <w:rsid w:val="004D4547"/>
    <w:rsid w:val="004D4CA6"/>
    <w:rsid w:val="004D4D34"/>
    <w:rsid w:val="004D4E10"/>
    <w:rsid w:val="004D59EE"/>
    <w:rsid w:val="004D6883"/>
    <w:rsid w:val="004D6D00"/>
    <w:rsid w:val="004D6F6C"/>
    <w:rsid w:val="004E032A"/>
    <w:rsid w:val="004E0F32"/>
    <w:rsid w:val="004E1A0B"/>
    <w:rsid w:val="004E1BB9"/>
    <w:rsid w:val="004E268A"/>
    <w:rsid w:val="004E298F"/>
    <w:rsid w:val="004E2A18"/>
    <w:rsid w:val="004E3835"/>
    <w:rsid w:val="004E4013"/>
    <w:rsid w:val="004E41FB"/>
    <w:rsid w:val="004E4B60"/>
    <w:rsid w:val="004E4ED2"/>
    <w:rsid w:val="004E551B"/>
    <w:rsid w:val="004E5921"/>
    <w:rsid w:val="004E59D5"/>
    <w:rsid w:val="004E68DB"/>
    <w:rsid w:val="004E6D70"/>
    <w:rsid w:val="004E7D4F"/>
    <w:rsid w:val="004F0214"/>
    <w:rsid w:val="004F03A3"/>
    <w:rsid w:val="004F0A96"/>
    <w:rsid w:val="004F0F5F"/>
    <w:rsid w:val="004F1C7C"/>
    <w:rsid w:val="004F1CE8"/>
    <w:rsid w:val="004F25F5"/>
    <w:rsid w:val="004F32AC"/>
    <w:rsid w:val="004F4755"/>
    <w:rsid w:val="004F4A29"/>
    <w:rsid w:val="004F4C3D"/>
    <w:rsid w:val="004F4E7A"/>
    <w:rsid w:val="004F5A20"/>
    <w:rsid w:val="004F6924"/>
    <w:rsid w:val="004F71A4"/>
    <w:rsid w:val="0050018D"/>
    <w:rsid w:val="00501971"/>
    <w:rsid w:val="00501AD3"/>
    <w:rsid w:val="00501C9E"/>
    <w:rsid w:val="00502223"/>
    <w:rsid w:val="005027D7"/>
    <w:rsid w:val="005034B6"/>
    <w:rsid w:val="00503864"/>
    <w:rsid w:val="00503F3C"/>
    <w:rsid w:val="00504AE2"/>
    <w:rsid w:val="00506BCE"/>
    <w:rsid w:val="00507383"/>
    <w:rsid w:val="005079FC"/>
    <w:rsid w:val="00507F9A"/>
    <w:rsid w:val="00511779"/>
    <w:rsid w:val="005133A1"/>
    <w:rsid w:val="0051397A"/>
    <w:rsid w:val="00514314"/>
    <w:rsid w:val="00516F5C"/>
    <w:rsid w:val="00517134"/>
    <w:rsid w:val="00517BEB"/>
    <w:rsid w:val="005204B9"/>
    <w:rsid w:val="00520E3A"/>
    <w:rsid w:val="00521881"/>
    <w:rsid w:val="00521F4E"/>
    <w:rsid w:val="00521F4F"/>
    <w:rsid w:val="00522B4A"/>
    <w:rsid w:val="00522F3B"/>
    <w:rsid w:val="00523024"/>
    <w:rsid w:val="00523EA9"/>
    <w:rsid w:val="00524742"/>
    <w:rsid w:val="00526522"/>
    <w:rsid w:val="00526A3D"/>
    <w:rsid w:val="005279C4"/>
    <w:rsid w:val="00527DFB"/>
    <w:rsid w:val="0053046A"/>
    <w:rsid w:val="0053052C"/>
    <w:rsid w:val="00530A9A"/>
    <w:rsid w:val="00530C57"/>
    <w:rsid w:val="00530E3A"/>
    <w:rsid w:val="005317B0"/>
    <w:rsid w:val="00531BD2"/>
    <w:rsid w:val="0053205E"/>
    <w:rsid w:val="00532084"/>
    <w:rsid w:val="0053257B"/>
    <w:rsid w:val="00533D6C"/>
    <w:rsid w:val="005354B1"/>
    <w:rsid w:val="00535519"/>
    <w:rsid w:val="00535FD6"/>
    <w:rsid w:val="005363CE"/>
    <w:rsid w:val="00536FEF"/>
    <w:rsid w:val="005400B4"/>
    <w:rsid w:val="005408AC"/>
    <w:rsid w:val="00540A6D"/>
    <w:rsid w:val="00540A7E"/>
    <w:rsid w:val="0054143B"/>
    <w:rsid w:val="0054283D"/>
    <w:rsid w:val="00542B5D"/>
    <w:rsid w:val="0054340A"/>
    <w:rsid w:val="00543BD7"/>
    <w:rsid w:val="0054426F"/>
    <w:rsid w:val="0054433E"/>
    <w:rsid w:val="00544569"/>
    <w:rsid w:val="005449BE"/>
    <w:rsid w:val="00544E24"/>
    <w:rsid w:val="005450C9"/>
    <w:rsid w:val="00545797"/>
    <w:rsid w:val="00545D9D"/>
    <w:rsid w:val="00545DE6"/>
    <w:rsid w:val="0054633A"/>
    <w:rsid w:val="00546B1F"/>
    <w:rsid w:val="00546FD9"/>
    <w:rsid w:val="00547124"/>
    <w:rsid w:val="0055044D"/>
    <w:rsid w:val="00552864"/>
    <w:rsid w:val="005536B3"/>
    <w:rsid w:val="00553E9E"/>
    <w:rsid w:val="00553EE1"/>
    <w:rsid w:val="00555AE1"/>
    <w:rsid w:val="00555E80"/>
    <w:rsid w:val="00555F53"/>
    <w:rsid w:val="00556625"/>
    <w:rsid w:val="00556781"/>
    <w:rsid w:val="00556EE8"/>
    <w:rsid w:val="00557507"/>
    <w:rsid w:val="00557EB4"/>
    <w:rsid w:val="005604D1"/>
    <w:rsid w:val="005606D3"/>
    <w:rsid w:val="00560E51"/>
    <w:rsid w:val="00560EAD"/>
    <w:rsid w:val="00561F40"/>
    <w:rsid w:val="00562A11"/>
    <w:rsid w:val="00562AA8"/>
    <w:rsid w:val="00562EB8"/>
    <w:rsid w:val="00563F0B"/>
    <w:rsid w:val="00564177"/>
    <w:rsid w:val="005642B5"/>
    <w:rsid w:val="005657B0"/>
    <w:rsid w:val="00566E7A"/>
    <w:rsid w:val="0056700F"/>
    <w:rsid w:val="00567177"/>
    <w:rsid w:val="005679E7"/>
    <w:rsid w:val="00567C28"/>
    <w:rsid w:val="0057138C"/>
    <w:rsid w:val="005714E6"/>
    <w:rsid w:val="00571615"/>
    <w:rsid w:val="00571894"/>
    <w:rsid w:val="00573ECA"/>
    <w:rsid w:val="00574853"/>
    <w:rsid w:val="0057503F"/>
    <w:rsid w:val="00576474"/>
    <w:rsid w:val="00576AE6"/>
    <w:rsid w:val="00577065"/>
    <w:rsid w:val="00577198"/>
    <w:rsid w:val="00577E5B"/>
    <w:rsid w:val="00580037"/>
    <w:rsid w:val="00580478"/>
    <w:rsid w:val="0058069F"/>
    <w:rsid w:val="00581671"/>
    <w:rsid w:val="0058193D"/>
    <w:rsid w:val="00582884"/>
    <w:rsid w:val="00582948"/>
    <w:rsid w:val="00582FBE"/>
    <w:rsid w:val="0058568D"/>
    <w:rsid w:val="005866BF"/>
    <w:rsid w:val="0058699A"/>
    <w:rsid w:val="00587150"/>
    <w:rsid w:val="00587743"/>
    <w:rsid w:val="00587939"/>
    <w:rsid w:val="00587CF0"/>
    <w:rsid w:val="00591119"/>
    <w:rsid w:val="005923C5"/>
    <w:rsid w:val="005932DC"/>
    <w:rsid w:val="0059518F"/>
    <w:rsid w:val="00595A9B"/>
    <w:rsid w:val="00597B52"/>
    <w:rsid w:val="00597D5E"/>
    <w:rsid w:val="00597E27"/>
    <w:rsid w:val="00597E3E"/>
    <w:rsid w:val="005A041D"/>
    <w:rsid w:val="005A0735"/>
    <w:rsid w:val="005A4E78"/>
    <w:rsid w:val="005A5A6F"/>
    <w:rsid w:val="005A65F2"/>
    <w:rsid w:val="005A76AB"/>
    <w:rsid w:val="005A7B92"/>
    <w:rsid w:val="005A7C86"/>
    <w:rsid w:val="005A7D3A"/>
    <w:rsid w:val="005B091F"/>
    <w:rsid w:val="005B143E"/>
    <w:rsid w:val="005B14BB"/>
    <w:rsid w:val="005B2046"/>
    <w:rsid w:val="005B20A6"/>
    <w:rsid w:val="005B2786"/>
    <w:rsid w:val="005B2BC9"/>
    <w:rsid w:val="005B317B"/>
    <w:rsid w:val="005B3B0C"/>
    <w:rsid w:val="005B3D40"/>
    <w:rsid w:val="005B46CC"/>
    <w:rsid w:val="005B48CF"/>
    <w:rsid w:val="005B4EDC"/>
    <w:rsid w:val="005B6358"/>
    <w:rsid w:val="005B6440"/>
    <w:rsid w:val="005B70E3"/>
    <w:rsid w:val="005B78D4"/>
    <w:rsid w:val="005B7AB3"/>
    <w:rsid w:val="005B7BFC"/>
    <w:rsid w:val="005C05F5"/>
    <w:rsid w:val="005C09F6"/>
    <w:rsid w:val="005C1068"/>
    <w:rsid w:val="005C12CE"/>
    <w:rsid w:val="005C16EF"/>
    <w:rsid w:val="005C2C91"/>
    <w:rsid w:val="005C4225"/>
    <w:rsid w:val="005C462D"/>
    <w:rsid w:val="005C4A39"/>
    <w:rsid w:val="005C5829"/>
    <w:rsid w:val="005C5BB6"/>
    <w:rsid w:val="005C60A2"/>
    <w:rsid w:val="005C6745"/>
    <w:rsid w:val="005C7A9D"/>
    <w:rsid w:val="005D1014"/>
    <w:rsid w:val="005D1491"/>
    <w:rsid w:val="005D14B1"/>
    <w:rsid w:val="005D163B"/>
    <w:rsid w:val="005D1656"/>
    <w:rsid w:val="005D1F42"/>
    <w:rsid w:val="005D34F3"/>
    <w:rsid w:val="005D39E7"/>
    <w:rsid w:val="005D3FA8"/>
    <w:rsid w:val="005D3FCF"/>
    <w:rsid w:val="005D4AC4"/>
    <w:rsid w:val="005D5D29"/>
    <w:rsid w:val="005D75C4"/>
    <w:rsid w:val="005E018D"/>
    <w:rsid w:val="005E072E"/>
    <w:rsid w:val="005E087C"/>
    <w:rsid w:val="005E2B14"/>
    <w:rsid w:val="005E2E22"/>
    <w:rsid w:val="005E3DF2"/>
    <w:rsid w:val="005E4295"/>
    <w:rsid w:val="005E42C6"/>
    <w:rsid w:val="005E4742"/>
    <w:rsid w:val="005E4FE6"/>
    <w:rsid w:val="005E561F"/>
    <w:rsid w:val="005E5690"/>
    <w:rsid w:val="005E6819"/>
    <w:rsid w:val="005E6CEB"/>
    <w:rsid w:val="005E7848"/>
    <w:rsid w:val="005E7E32"/>
    <w:rsid w:val="005F027E"/>
    <w:rsid w:val="005F0AB0"/>
    <w:rsid w:val="005F0D92"/>
    <w:rsid w:val="005F2E39"/>
    <w:rsid w:val="005F2F94"/>
    <w:rsid w:val="005F349F"/>
    <w:rsid w:val="005F3C22"/>
    <w:rsid w:val="005F43AD"/>
    <w:rsid w:val="005F575B"/>
    <w:rsid w:val="005F5986"/>
    <w:rsid w:val="005F598C"/>
    <w:rsid w:val="005F5DD1"/>
    <w:rsid w:val="005F7789"/>
    <w:rsid w:val="00600008"/>
    <w:rsid w:val="006006E1"/>
    <w:rsid w:val="00601842"/>
    <w:rsid w:val="006032D6"/>
    <w:rsid w:val="00603D34"/>
    <w:rsid w:val="00604C31"/>
    <w:rsid w:val="00605389"/>
    <w:rsid w:val="006053FB"/>
    <w:rsid w:val="00606098"/>
    <w:rsid w:val="0060613C"/>
    <w:rsid w:val="0060701B"/>
    <w:rsid w:val="00611846"/>
    <w:rsid w:val="00611E9A"/>
    <w:rsid w:val="006128ED"/>
    <w:rsid w:val="006140F2"/>
    <w:rsid w:val="006144A7"/>
    <w:rsid w:val="00615403"/>
    <w:rsid w:val="00616C24"/>
    <w:rsid w:val="00616DA3"/>
    <w:rsid w:val="00617DFD"/>
    <w:rsid w:val="00617FAA"/>
    <w:rsid w:val="006204BA"/>
    <w:rsid w:val="00620B85"/>
    <w:rsid w:val="00621570"/>
    <w:rsid w:val="00622189"/>
    <w:rsid w:val="0062245D"/>
    <w:rsid w:val="006238BD"/>
    <w:rsid w:val="00623C51"/>
    <w:rsid w:val="00624201"/>
    <w:rsid w:val="00624EFB"/>
    <w:rsid w:val="00625265"/>
    <w:rsid w:val="00625811"/>
    <w:rsid w:val="0062593F"/>
    <w:rsid w:val="00627511"/>
    <w:rsid w:val="0062757C"/>
    <w:rsid w:val="006279F2"/>
    <w:rsid w:val="00627DC4"/>
    <w:rsid w:val="00627F06"/>
    <w:rsid w:val="00627F49"/>
    <w:rsid w:val="006302E0"/>
    <w:rsid w:val="006305A6"/>
    <w:rsid w:val="006313C1"/>
    <w:rsid w:val="00632699"/>
    <w:rsid w:val="006327B8"/>
    <w:rsid w:val="00632CC4"/>
    <w:rsid w:val="006333D8"/>
    <w:rsid w:val="00633C01"/>
    <w:rsid w:val="00633C86"/>
    <w:rsid w:val="00634456"/>
    <w:rsid w:val="00634EE4"/>
    <w:rsid w:val="00635B2B"/>
    <w:rsid w:val="006367AF"/>
    <w:rsid w:val="00637614"/>
    <w:rsid w:val="00637888"/>
    <w:rsid w:val="00637B34"/>
    <w:rsid w:val="00637D7B"/>
    <w:rsid w:val="0064007D"/>
    <w:rsid w:val="00640516"/>
    <w:rsid w:val="00640D82"/>
    <w:rsid w:val="00641726"/>
    <w:rsid w:val="0064310F"/>
    <w:rsid w:val="00645727"/>
    <w:rsid w:val="00645BC1"/>
    <w:rsid w:val="00646269"/>
    <w:rsid w:val="00646754"/>
    <w:rsid w:val="00646B48"/>
    <w:rsid w:val="00646DBE"/>
    <w:rsid w:val="00646EE9"/>
    <w:rsid w:val="006474A7"/>
    <w:rsid w:val="00647767"/>
    <w:rsid w:val="006477D2"/>
    <w:rsid w:val="006507D2"/>
    <w:rsid w:val="00650B87"/>
    <w:rsid w:val="0065142E"/>
    <w:rsid w:val="006518FF"/>
    <w:rsid w:val="006525C8"/>
    <w:rsid w:val="00652854"/>
    <w:rsid w:val="0065386D"/>
    <w:rsid w:val="006538B2"/>
    <w:rsid w:val="00653E35"/>
    <w:rsid w:val="00653E4F"/>
    <w:rsid w:val="0065432D"/>
    <w:rsid w:val="0065441C"/>
    <w:rsid w:val="006548C1"/>
    <w:rsid w:val="00655784"/>
    <w:rsid w:val="0065583A"/>
    <w:rsid w:val="00656A2B"/>
    <w:rsid w:val="00656B2C"/>
    <w:rsid w:val="006600A6"/>
    <w:rsid w:val="00660ED7"/>
    <w:rsid w:val="006614E4"/>
    <w:rsid w:val="00661930"/>
    <w:rsid w:val="00662422"/>
    <w:rsid w:val="00662612"/>
    <w:rsid w:val="0066312B"/>
    <w:rsid w:val="00664B6B"/>
    <w:rsid w:val="00664C2C"/>
    <w:rsid w:val="006658D2"/>
    <w:rsid w:val="00665C44"/>
    <w:rsid w:val="00666257"/>
    <w:rsid w:val="00666BFA"/>
    <w:rsid w:val="0066724B"/>
    <w:rsid w:val="0067000D"/>
    <w:rsid w:val="00670891"/>
    <w:rsid w:val="0067195C"/>
    <w:rsid w:val="00671F13"/>
    <w:rsid w:val="00672155"/>
    <w:rsid w:val="006731F2"/>
    <w:rsid w:val="0067362C"/>
    <w:rsid w:val="00673836"/>
    <w:rsid w:val="006743AA"/>
    <w:rsid w:val="00674993"/>
    <w:rsid w:val="006750AD"/>
    <w:rsid w:val="006762D8"/>
    <w:rsid w:val="00676FAB"/>
    <w:rsid w:val="006806D7"/>
    <w:rsid w:val="00680834"/>
    <w:rsid w:val="00680C06"/>
    <w:rsid w:val="00680CA5"/>
    <w:rsid w:val="00681124"/>
    <w:rsid w:val="00682AF0"/>
    <w:rsid w:val="00682F92"/>
    <w:rsid w:val="006830FB"/>
    <w:rsid w:val="00684D96"/>
    <w:rsid w:val="00684F43"/>
    <w:rsid w:val="00685390"/>
    <w:rsid w:val="00685772"/>
    <w:rsid w:val="00685F62"/>
    <w:rsid w:val="006871C0"/>
    <w:rsid w:val="00690853"/>
    <w:rsid w:val="0069213A"/>
    <w:rsid w:val="00692B02"/>
    <w:rsid w:val="00693F39"/>
    <w:rsid w:val="00694DA2"/>
    <w:rsid w:val="00694FC5"/>
    <w:rsid w:val="00695865"/>
    <w:rsid w:val="0069670F"/>
    <w:rsid w:val="00697871"/>
    <w:rsid w:val="006A002D"/>
    <w:rsid w:val="006A0A56"/>
    <w:rsid w:val="006A0D10"/>
    <w:rsid w:val="006A1055"/>
    <w:rsid w:val="006A10F8"/>
    <w:rsid w:val="006A2331"/>
    <w:rsid w:val="006A23C1"/>
    <w:rsid w:val="006A2A7A"/>
    <w:rsid w:val="006A310D"/>
    <w:rsid w:val="006A31B3"/>
    <w:rsid w:val="006A38B0"/>
    <w:rsid w:val="006A48F0"/>
    <w:rsid w:val="006A59C0"/>
    <w:rsid w:val="006A60C4"/>
    <w:rsid w:val="006A6120"/>
    <w:rsid w:val="006A6FCB"/>
    <w:rsid w:val="006A7C92"/>
    <w:rsid w:val="006A7D47"/>
    <w:rsid w:val="006B0FF0"/>
    <w:rsid w:val="006B15CC"/>
    <w:rsid w:val="006B18A8"/>
    <w:rsid w:val="006B20CA"/>
    <w:rsid w:val="006B2448"/>
    <w:rsid w:val="006B2724"/>
    <w:rsid w:val="006B2BFE"/>
    <w:rsid w:val="006B64AA"/>
    <w:rsid w:val="006B68AB"/>
    <w:rsid w:val="006B68FE"/>
    <w:rsid w:val="006C033D"/>
    <w:rsid w:val="006C0C8E"/>
    <w:rsid w:val="006C1CAE"/>
    <w:rsid w:val="006C1DF7"/>
    <w:rsid w:val="006C1E3B"/>
    <w:rsid w:val="006C269A"/>
    <w:rsid w:val="006C2CDE"/>
    <w:rsid w:val="006C5743"/>
    <w:rsid w:val="006C5905"/>
    <w:rsid w:val="006C6836"/>
    <w:rsid w:val="006C6F1C"/>
    <w:rsid w:val="006C6F1E"/>
    <w:rsid w:val="006C7001"/>
    <w:rsid w:val="006C707A"/>
    <w:rsid w:val="006C7DEB"/>
    <w:rsid w:val="006D1557"/>
    <w:rsid w:val="006D155D"/>
    <w:rsid w:val="006D1CA7"/>
    <w:rsid w:val="006D2844"/>
    <w:rsid w:val="006D30F1"/>
    <w:rsid w:val="006D36B4"/>
    <w:rsid w:val="006D3790"/>
    <w:rsid w:val="006D45E8"/>
    <w:rsid w:val="006D64F0"/>
    <w:rsid w:val="006D675F"/>
    <w:rsid w:val="006D69D8"/>
    <w:rsid w:val="006D7CE0"/>
    <w:rsid w:val="006D7D40"/>
    <w:rsid w:val="006E075E"/>
    <w:rsid w:val="006E0975"/>
    <w:rsid w:val="006E0C98"/>
    <w:rsid w:val="006E0FB1"/>
    <w:rsid w:val="006E25E7"/>
    <w:rsid w:val="006E3067"/>
    <w:rsid w:val="006E4CEB"/>
    <w:rsid w:val="006E4E48"/>
    <w:rsid w:val="006E5CDC"/>
    <w:rsid w:val="006E65A7"/>
    <w:rsid w:val="006E6F16"/>
    <w:rsid w:val="006F0CF5"/>
    <w:rsid w:val="006F1218"/>
    <w:rsid w:val="006F25C0"/>
    <w:rsid w:val="006F2675"/>
    <w:rsid w:val="006F3242"/>
    <w:rsid w:val="006F3AF9"/>
    <w:rsid w:val="006F3FFB"/>
    <w:rsid w:val="006F42BE"/>
    <w:rsid w:val="006F4CE7"/>
    <w:rsid w:val="006F4DCB"/>
    <w:rsid w:val="006F625F"/>
    <w:rsid w:val="006F6736"/>
    <w:rsid w:val="006F68E1"/>
    <w:rsid w:val="006F6C56"/>
    <w:rsid w:val="006F74D1"/>
    <w:rsid w:val="007007DA"/>
    <w:rsid w:val="00701F0D"/>
    <w:rsid w:val="00702182"/>
    <w:rsid w:val="00703884"/>
    <w:rsid w:val="007050B6"/>
    <w:rsid w:val="00705186"/>
    <w:rsid w:val="0070580A"/>
    <w:rsid w:val="00705C1D"/>
    <w:rsid w:val="00706A36"/>
    <w:rsid w:val="007072A9"/>
    <w:rsid w:val="0070742F"/>
    <w:rsid w:val="00707523"/>
    <w:rsid w:val="00707B03"/>
    <w:rsid w:val="00710F53"/>
    <w:rsid w:val="007111E9"/>
    <w:rsid w:val="00711524"/>
    <w:rsid w:val="00711924"/>
    <w:rsid w:val="00712C9E"/>
    <w:rsid w:val="007135B3"/>
    <w:rsid w:val="0071478C"/>
    <w:rsid w:val="00714E92"/>
    <w:rsid w:val="00714FA8"/>
    <w:rsid w:val="0071516B"/>
    <w:rsid w:val="00715BC1"/>
    <w:rsid w:val="00715D32"/>
    <w:rsid w:val="00716EE3"/>
    <w:rsid w:val="007171BB"/>
    <w:rsid w:val="007177FD"/>
    <w:rsid w:val="00720774"/>
    <w:rsid w:val="0072124A"/>
    <w:rsid w:val="007214E2"/>
    <w:rsid w:val="00721B03"/>
    <w:rsid w:val="00721BB7"/>
    <w:rsid w:val="0072220C"/>
    <w:rsid w:val="007222BD"/>
    <w:rsid w:val="00722478"/>
    <w:rsid w:val="007227A2"/>
    <w:rsid w:val="007227A3"/>
    <w:rsid w:val="00722991"/>
    <w:rsid w:val="00722C29"/>
    <w:rsid w:val="00722F3B"/>
    <w:rsid w:val="00723B16"/>
    <w:rsid w:val="00723E62"/>
    <w:rsid w:val="00725292"/>
    <w:rsid w:val="00725427"/>
    <w:rsid w:val="00725DED"/>
    <w:rsid w:val="00725E62"/>
    <w:rsid w:val="007263A7"/>
    <w:rsid w:val="007263C0"/>
    <w:rsid w:val="0072736C"/>
    <w:rsid w:val="00727A46"/>
    <w:rsid w:val="00730AF6"/>
    <w:rsid w:val="00731427"/>
    <w:rsid w:val="00731482"/>
    <w:rsid w:val="00731AA8"/>
    <w:rsid w:val="00731B11"/>
    <w:rsid w:val="00731D8F"/>
    <w:rsid w:val="007321AA"/>
    <w:rsid w:val="007325BA"/>
    <w:rsid w:val="00732932"/>
    <w:rsid w:val="00733FCA"/>
    <w:rsid w:val="00734A2B"/>
    <w:rsid w:val="00735C70"/>
    <w:rsid w:val="00735CE4"/>
    <w:rsid w:val="00736194"/>
    <w:rsid w:val="00737032"/>
    <w:rsid w:val="0073703A"/>
    <w:rsid w:val="00737B10"/>
    <w:rsid w:val="0074022F"/>
    <w:rsid w:val="00741299"/>
    <w:rsid w:val="00741416"/>
    <w:rsid w:val="00741F3B"/>
    <w:rsid w:val="0074271C"/>
    <w:rsid w:val="00743615"/>
    <w:rsid w:val="00744CED"/>
    <w:rsid w:val="007450C4"/>
    <w:rsid w:val="00745620"/>
    <w:rsid w:val="007456E8"/>
    <w:rsid w:val="007456F1"/>
    <w:rsid w:val="00745749"/>
    <w:rsid w:val="0074782D"/>
    <w:rsid w:val="00747E8F"/>
    <w:rsid w:val="0075016A"/>
    <w:rsid w:val="00750223"/>
    <w:rsid w:val="0075067C"/>
    <w:rsid w:val="00750741"/>
    <w:rsid w:val="00751D68"/>
    <w:rsid w:val="007525EB"/>
    <w:rsid w:val="007569F3"/>
    <w:rsid w:val="00756AA2"/>
    <w:rsid w:val="00756DC0"/>
    <w:rsid w:val="007614F4"/>
    <w:rsid w:val="007621E4"/>
    <w:rsid w:val="007621E6"/>
    <w:rsid w:val="00762372"/>
    <w:rsid w:val="007630F3"/>
    <w:rsid w:val="00764434"/>
    <w:rsid w:val="007651AD"/>
    <w:rsid w:val="00766592"/>
    <w:rsid w:val="00766FDA"/>
    <w:rsid w:val="0076797A"/>
    <w:rsid w:val="00767AC9"/>
    <w:rsid w:val="00770701"/>
    <w:rsid w:val="007709F6"/>
    <w:rsid w:val="0077102D"/>
    <w:rsid w:val="00771492"/>
    <w:rsid w:val="00771BA5"/>
    <w:rsid w:val="00771C0A"/>
    <w:rsid w:val="007725F9"/>
    <w:rsid w:val="0077268A"/>
    <w:rsid w:val="00772FED"/>
    <w:rsid w:val="007740C4"/>
    <w:rsid w:val="007742F2"/>
    <w:rsid w:val="00774876"/>
    <w:rsid w:val="007750A6"/>
    <w:rsid w:val="007750BF"/>
    <w:rsid w:val="00775475"/>
    <w:rsid w:val="0077584A"/>
    <w:rsid w:val="007759B6"/>
    <w:rsid w:val="00776737"/>
    <w:rsid w:val="00776D1F"/>
    <w:rsid w:val="00777AEE"/>
    <w:rsid w:val="00780CC1"/>
    <w:rsid w:val="00782592"/>
    <w:rsid w:val="00782EC8"/>
    <w:rsid w:val="00783000"/>
    <w:rsid w:val="007837A9"/>
    <w:rsid w:val="00785BAF"/>
    <w:rsid w:val="007868B1"/>
    <w:rsid w:val="00787288"/>
    <w:rsid w:val="00790417"/>
    <w:rsid w:val="00790F18"/>
    <w:rsid w:val="0079109F"/>
    <w:rsid w:val="00791DEB"/>
    <w:rsid w:val="007920A9"/>
    <w:rsid w:val="0079274F"/>
    <w:rsid w:val="00793417"/>
    <w:rsid w:val="007934D1"/>
    <w:rsid w:val="00793851"/>
    <w:rsid w:val="0079411A"/>
    <w:rsid w:val="0079564C"/>
    <w:rsid w:val="0079595F"/>
    <w:rsid w:val="0079675F"/>
    <w:rsid w:val="00796938"/>
    <w:rsid w:val="007977A6"/>
    <w:rsid w:val="007A0FA8"/>
    <w:rsid w:val="007A1025"/>
    <w:rsid w:val="007A1BBA"/>
    <w:rsid w:val="007A2108"/>
    <w:rsid w:val="007A2B7C"/>
    <w:rsid w:val="007A5241"/>
    <w:rsid w:val="007A5354"/>
    <w:rsid w:val="007A5460"/>
    <w:rsid w:val="007A56FF"/>
    <w:rsid w:val="007A62AC"/>
    <w:rsid w:val="007A653C"/>
    <w:rsid w:val="007A6880"/>
    <w:rsid w:val="007A7080"/>
    <w:rsid w:val="007A7D27"/>
    <w:rsid w:val="007A7DF8"/>
    <w:rsid w:val="007A7F5A"/>
    <w:rsid w:val="007B07E4"/>
    <w:rsid w:val="007B125A"/>
    <w:rsid w:val="007B1694"/>
    <w:rsid w:val="007B1E93"/>
    <w:rsid w:val="007B232D"/>
    <w:rsid w:val="007B38C7"/>
    <w:rsid w:val="007B38D4"/>
    <w:rsid w:val="007B458E"/>
    <w:rsid w:val="007B4C5E"/>
    <w:rsid w:val="007B56BF"/>
    <w:rsid w:val="007B59A8"/>
    <w:rsid w:val="007B5E3E"/>
    <w:rsid w:val="007B5F0B"/>
    <w:rsid w:val="007B6DD7"/>
    <w:rsid w:val="007B71D6"/>
    <w:rsid w:val="007B7779"/>
    <w:rsid w:val="007B7D85"/>
    <w:rsid w:val="007C137D"/>
    <w:rsid w:val="007C202D"/>
    <w:rsid w:val="007C221C"/>
    <w:rsid w:val="007C3159"/>
    <w:rsid w:val="007C39CD"/>
    <w:rsid w:val="007C3AC8"/>
    <w:rsid w:val="007C4179"/>
    <w:rsid w:val="007C513D"/>
    <w:rsid w:val="007C5D6F"/>
    <w:rsid w:val="007C708A"/>
    <w:rsid w:val="007C7F25"/>
    <w:rsid w:val="007D089D"/>
    <w:rsid w:val="007D16A2"/>
    <w:rsid w:val="007D19DA"/>
    <w:rsid w:val="007D1F8E"/>
    <w:rsid w:val="007D2220"/>
    <w:rsid w:val="007D270E"/>
    <w:rsid w:val="007D3072"/>
    <w:rsid w:val="007D3418"/>
    <w:rsid w:val="007D35B4"/>
    <w:rsid w:val="007D40A4"/>
    <w:rsid w:val="007D4FB4"/>
    <w:rsid w:val="007D584B"/>
    <w:rsid w:val="007D6A26"/>
    <w:rsid w:val="007D6B23"/>
    <w:rsid w:val="007D725A"/>
    <w:rsid w:val="007D7B9E"/>
    <w:rsid w:val="007E0111"/>
    <w:rsid w:val="007E089C"/>
    <w:rsid w:val="007E0C4C"/>
    <w:rsid w:val="007E0DE6"/>
    <w:rsid w:val="007E1EBF"/>
    <w:rsid w:val="007E2426"/>
    <w:rsid w:val="007E28FB"/>
    <w:rsid w:val="007E2C0D"/>
    <w:rsid w:val="007E4443"/>
    <w:rsid w:val="007E4787"/>
    <w:rsid w:val="007E4DBC"/>
    <w:rsid w:val="007E4E40"/>
    <w:rsid w:val="007E5077"/>
    <w:rsid w:val="007E511E"/>
    <w:rsid w:val="007E54F2"/>
    <w:rsid w:val="007E5515"/>
    <w:rsid w:val="007E68A2"/>
    <w:rsid w:val="007E6D15"/>
    <w:rsid w:val="007E7C5B"/>
    <w:rsid w:val="007F00F6"/>
    <w:rsid w:val="007F06AD"/>
    <w:rsid w:val="007F06D1"/>
    <w:rsid w:val="007F141D"/>
    <w:rsid w:val="007F17EB"/>
    <w:rsid w:val="007F1EFB"/>
    <w:rsid w:val="007F2096"/>
    <w:rsid w:val="007F282C"/>
    <w:rsid w:val="007F283A"/>
    <w:rsid w:val="007F318B"/>
    <w:rsid w:val="007F425C"/>
    <w:rsid w:val="007F490A"/>
    <w:rsid w:val="007F49EA"/>
    <w:rsid w:val="007F4F45"/>
    <w:rsid w:val="007F52F4"/>
    <w:rsid w:val="007F57BC"/>
    <w:rsid w:val="007F5FCD"/>
    <w:rsid w:val="007F6290"/>
    <w:rsid w:val="007F6CD5"/>
    <w:rsid w:val="0080079A"/>
    <w:rsid w:val="0080118A"/>
    <w:rsid w:val="00801363"/>
    <w:rsid w:val="008015A2"/>
    <w:rsid w:val="00801E2B"/>
    <w:rsid w:val="00801E51"/>
    <w:rsid w:val="0080303D"/>
    <w:rsid w:val="0080389E"/>
    <w:rsid w:val="0080408A"/>
    <w:rsid w:val="00804A53"/>
    <w:rsid w:val="00804F52"/>
    <w:rsid w:val="008054C7"/>
    <w:rsid w:val="008054D6"/>
    <w:rsid w:val="0080610A"/>
    <w:rsid w:val="00806299"/>
    <w:rsid w:val="00806301"/>
    <w:rsid w:val="00806648"/>
    <w:rsid w:val="00806A12"/>
    <w:rsid w:val="00806A43"/>
    <w:rsid w:val="008106B8"/>
    <w:rsid w:val="00810B48"/>
    <w:rsid w:val="0081197D"/>
    <w:rsid w:val="00812B57"/>
    <w:rsid w:val="0081382F"/>
    <w:rsid w:val="00813F76"/>
    <w:rsid w:val="0081415B"/>
    <w:rsid w:val="008149BA"/>
    <w:rsid w:val="00814E4D"/>
    <w:rsid w:val="008154E0"/>
    <w:rsid w:val="008165B6"/>
    <w:rsid w:val="0081729F"/>
    <w:rsid w:val="00817305"/>
    <w:rsid w:val="008176C8"/>
    <w:rsid w:val="0081791B"/>
    <w:rsid w:val="00817ED4"/>
    <w:rsid w:val="00823154"/>
    <w:rsid w:val="00823C67"/>
    <w:rsid w:val="00823F5D"/>
    <w:rsid w:val="008241F3"/>
    <w:rsid w:val="00824997"/>
    <w:rsid w:val="00824B1E"/>
    <w:rsid w:val="0082599E"/>
    <w:rsid w:val="00825A48"/>
    <w:rsid w:val="00825BFB"/>
    <w:rsid w:val="00827082"/>
    <w:rsid w:val="00830302"/>
    <w:rsid w:val="008315FC"/>
    <w:rsid w:val="008317D7"/>
    <w:rsid w:val="00832A1F"/>
    <w:rsid w:val="00833FD5"/>
    <w:rsid w:val="008345E1"/>
    <w:rsid w:val="00834765"/>
    <w:rsid w:val="00835171"/>
    <w:rsid w:val="00835268"/>
    <w:rsid w:val="0083561D"/>
    <w:rsid w:val="00835685"/>
    <w:rsid w:val="008379D4"/>
    <w:rsid w:val="00840760"/>
    <w:rsid w:val="00840C65"/>
    <w:rsid w:val="00841A6A"/>
    <w:rsid w:val="00842145"/>
    <w:rsid w:val="00842904"/>
    <w:rsid w:val="00842C97"/>
    <w:rsid w:val="00843FF1"/>
    <w:rsid w:val="008457A6"/>
    <w:rsid w:val="0084653B"/>
    <w:rsid w:val="00846B2A"/>
    <w:rsid w:val="00846D07"/>
    <w:rsid w:val="00846E43"/>
    <w:rsid w:val="00847118"/>
    <w:rsid w:val="0084771F"/>
    <w:rsid w:val="00847C38"/>
    <w:rsid w:val="00847E73"/>
    <w:rsid w:val="00847FA3"/>
    <w:rsid w:val="008503FF"/>
    <w:rsid w:val="00850813"/>
    <w:rsid w:val="00850C5A"/>
    <w:rsid w:val="00851012"/>
    <w:rsid w:val="00851685"/>
    <w:rsid w:val="00852196"/>
    <w:rsid w:val="00852343"/>
    <w:rsid w:val="008524AA"/>
    <w:rsid w:val="0085376F"/>
    <w:rsid w:val="00853A0C"/>
    <w:rsid w:val="00853CED"/>
    <w:rsid w:val="00853E48"/>
    <w:rsid w:val="00854BE8"/>
    <w:rsid w:val="00855FBC"/>
    <w:rsid w:val="008560ED"/>
    <w:rsid w:val="008565F5"/>
    <w:rsid w:val="00856E5D"/>
    <w:rsid w:val="0085789F"/>
    <w:rsid w:val="008578A5"/>
    <w:rsid w:val="008578AE"/>
    <w:rsid w:val="00857F76"/>
    <w:rsid w:val="008608BB"/>
    <w:rsid w:val="0086107A"/>
    <w:rsid w:val="0086231F"/>
    <w:rsid w:val="00862797"/>
    <w:rsid w:val="00862872"/>
    <w:rsid w:val="00863EBF"/>
    <w:rsid w:val="00864572"/>
    <w:rsid w:val="00864E93"/>
    <w:rsid w:val="008654D0"/>
    <w:rsid w:val="00865BBE"/>
    <w:rsid w:val="00865BF2"/>
    <w:rsid w:val="00865CC3"/>
    <w:rsid w:val="00865CD4"/>
    <w:rsid w:val="00866228"/>
    <w:rsid w:val="0086622C"/>
    <w:rsid w:val="00866341"/>
    <w:rsid w:val="00866791"/>
    <w:rsid w:val="0086683A"/>
    <w:rsid w:val="008668B2"/>
    <w:rsid w:val="0087087E"/>
    <w:rsid w:val="00870D3E"/>
    <w:rsid w:val="008714A4"/>
    <w:rsid w:val="00871846"/>
    <w:rsid w:val="00871EE6"/>
    <w:rsid w:val="008720C4"/>
    <w:rsid w:val="0087225C"/>
    <w:rsid w:val="00872C5E"/>
    <w:rsid w:val="00873974"/>
    <w:rsid w:val="00873CC9"/>
    <w:rsid w:val="00873D73"/>
    <w:rsid w:val="008744D6"/>
    <w:rsid w:val="00874713"/>
    <w:rsid w:val="00875246"/>
    <w:rsid w:val="0087619E"/>
    <w:rsid w:val="00876C74"/>
    <w:rsid w:val="00880332"/>
    <w:rsid w:val="00880B22"/>
    <w:rsid w:val="008837CE"/>
    <w:rsid w:val="0088440E"/>
    <w:rsid w:val="00884B1E"/>
    <w:rsid w:val="00886A0E"/>
    <w:rsid w:val="00886E46"/>
    <w:rsid w:val="00887161"/>
    <w:rsid w:val="008876A3"/>
    <w:rsid w:val="00887865"/>
    <w:rsid w:val="008879EF"/>
    <w:rsid w:val="00887A7B"/>
    <w:rsid w:val="008912E4"/>
    <w:rsid w:val="00891912"/>
    <w:rsid w:val="00891A92"/>
    <w:rsid w:val="008928E8"/>
    <w:rsid w:val="00893A66"/>
    <w:rsid w:val="008961F6"/>
    <w:rsid w:val="008964D2"/>
    <w:rsid w:val="00896695"/>
    <w:rsid w:val="008968C2"/>
    <w:rsid w:val="00896E61"/>
    <w:rsid w:val="00896F17"/>
    <w:rsid w:val="00897041"/>
    <w:rsid w:val="00897097"/>
    <w:rsid w:val="008973BB"/>
    <w:rsid w:val="008975FF"/>
    <w:rsid w:val="00897A35"/>
    <w:rsid w:val="00897B4D"/>
    <w:rsid w:val="008A11EB"/>
    <w:rsid w:val="008A1E49"/>
    <w:rsid w:val="008A2D07"/>
    <w:rsid w:val="008A3371"/>
    <w:rsid w:val="008A33ED"/>
    <w:rsid w:val="008A3A97"/>
    <w:rsid w:val="008A3C85"/>
    <w:rsid w:val="008A3DC6"/>
    <w:rsid w:val="008A4D3C"/>
    <w:rsid w:val="008A6241"/>
    <w:rsid w:val="008A72D5"/>
    <w:rsid w:val="008A75D2"/>
    <w:rsid w:val="008B10A2"/>
    <w:rsid w:val="008B12C0"/>
    <w:rsid w:val="008B272E"/>
    <w:rsid w:val="008B3301"/>
    <w:rsid w:val="008B4723"/>
    <w:rsid w:val="008B6405"/>
    <w:rsid w:val="008B66FD"/>
    <w:rsid w:val="008B68EE"/>
    <w:rsid w:val="008B6D76"/>
    <w:rsid w:val="008B7395"/>
    <w:rsid w:val="008C0184"/>
    <w:rsid w:val="008C0471"/>
    <w:rsid w:val="008C04DC"/>
    <w:rsid w:val="008C0ADD"/>
    <w:rsid w:val="008C0F51"/>
    <w:rsid w:val="008C1071"/>
    <w:rsid w:val="008C1A07"/>
    <w:rsid w:val="008C247B"/>
    <w:rsid w:val="008C3B83"/>
    <w:rsid w:val="008C3C5C"/>
    <w:rsid w:val="008C3DFF"/>
    <w:rsid w:val="008C4099"/>
    <w:rsid w:val="008C42AD"/>
    <w:rsid w:val="008C44B7"/>
    <w:rsid w:val="008C45D0"/>
    <w:rsid w:val="008C47D7"/>
    <w:rsid w:val="008C545F"/>
    <w:rsid w:val="008C6051"/>
    <w:rsid w:val="008C6DE8"/>
    <w:rsid w:val="008C6E59"/>
    <w:rsid w:val="008D16F2"/>
    <w:rsid w:val="008D302E"/>
    <w:rsid w:val="008D31E3"/>
    <w:rsid w:val="008D3BD8"/>
    <w:rsid w:val="008D55C6"/>
    <w:rsid w:val="008D56CD"/>
    <w:rsid w:val="008D7030"/>
    <w:rsid w:val="008E00CE"/>
    <w:rsid w:val="008E181D"/>
    <w:rsid w:val="008E1821"/>
    <w:rsid w:val="008E1A76"/>
    <w:rsid w:val="008E1F21"/>
    <w:rsid w:val="008E1FCF"/>
    <w:rsid w:val="008E2EDB"/>
    <w:rsid w:val="008E39FF"/>
    <w:rsid w:val="008E3E31"/>
    <w:rsid w:val="008E499F"/>
    <w:rsid w:val="008E49BC"/>
    <w:rsid w:val="008E58D7"/>
    <w:rsid w:val="008E6160"/>
    <w:rsid w:val="008E7128"/>
    <w:rsid w:val="008E74B0"/>
    <w:rsid w:val="008F10D7"/>
    <w:rsid w:val="008F1672"/>
    <w:rsid w:val="008F1D89"/>
    <w:rsid w:val="008F1F2A"/>
    <w:rsid w:val="008F24E8"/>
    <w:rsid w:val="008F25D2"/>
    <w:rsid w:val="008F2C05"/>
    <w:rsid w:val="008F3B57"/>
    <w:rsid w:val="008F3D0E"/>
    <w:rsid w:val="008F4979"/>
    <w:rsid w:val="008F4E87"/>
    <w:rsid w:val="008F50CD"/>
    <w:rsid w:val="008F58A7"/>
    <w:rsid w:val="008F605E"/>
    <w:rsid w:val="008F6DBE"/>
    <w:rsid w:val="008F7712"/>
    <w:rsid w:val="00900A23"/>
    <w:rsid w:val="00901BDF"/>
    <w:rsid w:val="009025ED"/>
    <w:rsid w:val="00902AD0"/>
    <w:rsid w:val="0090320A"/>
    <w:rsid w:val="00903735"/>
    <w:rsid w:val="00903C9C"/>
    <w:rsid w:val="009048C2"/>
    <w:rsid w:val="00904916"/>
    <w:rsid w:val="009056ED"/>
    <w:rsid w:val="00905B99"/>
    <w:rsid w:val="00905C95"/>
    <w:rsid w:val="00905E35"/>
    <w:rsid w:val="009063F9"/>
    <w:rsid w:val="00906A13"/>
    <w:rsid w:val="009079AC"/>
    <w:rsid w:val="00907E4B"/>
    <w:rsid w:val="00910CBC"/>
    <w:rsid w:val="00910E4B"/>
    <w:rsid w:val="00910ED7"/>
    <w:rsid w:val="00912AA1"/>
    <w:rsid w:val="00913A73"/>
    <w:rsid w:val="00913CE6"/>
    <w:rsid w:val="009154A5"/>
    <w:rsid w:val="00916286"/>
    <w:rsid w:val="009164E0"/>
    <w:rsid w:val="00916B5B"/>
    <w:rsid w:val="00916E76"/>
    <w:rsid w:val="00916ED3"/>
    <w:rsid w:val="00917798"/>
    <w:rsid w:val="00917DD1"/>
    <w:rsid w:val="00917FB1"/>
    <w:rsid w:val="00920377"/>
    <w:rsid w:val="0092046E"/>
    <w:rsid w:val="0092115D"/>
    <w:rsid w:val="009212D9"/>
    <w:rsid w:val="00921683"/>
    <w:rsid w:val="009217B0"/>
    <w:rsid w:val="00921A13"/>
    <w:rsid w:val="00921A41"/>
    <w:rsid w:val="00921ACF"/>
    <w:rsid w:val="0092228A"/>
    <w:rsid w:val="009227B6"/>
    <w:rsid w:val="00922C92"/>
    <w:rsid w:val="00922DF7"/>
    <w:rsid w:val="0092327B"/>
    <w:rsid w:val="00923BA8"/>
    <w:rsid w:val="00923DCF"/>
    <w:rsid w:val="00924781"/>
    <w:rsid w:val="00924ED4"/>
    <w:rsid w:val="00924F09"/>
    <w:rsid w:val="0092546F"/>
    <w:rsid w:val="00925675"/>
    <w:rsid w:val="00925920"/>
    <w:rsid w:val="00925A25"/>
    <w:rsid w:val="009269DC"/>
    <w:rsid w:val="00926A46"/>
    <w:rsid w:val="00926C2B"/>
    <w:rsid w:val="00926D55"/>
    <w:rsid w:val="00926DD5"/>
    <w:rsid w:val="00926E84"/>
    <w:rsid w:val="0092732C"/>
    <w:rsid w:val="009276C0"/>
    <w:rsid w:val="009277FA"/>
    <w:rsid w:val="00927BB3"/>
    <w:rsid w:val="00927BF3"/>
    <w:rsid w:val="009303B4"/>
    <w:rsid w:val="00930B7A"/>
    <w:rsid w:val="0093107C"/>
    <w:rsid w:val="00932311"/>
    <w:rsid w:val="009333B4"/>
    <w:rsid w:val="009340B2"/>
    <w:rsid w:val="009341F2"/>
    <w:rsid w:val="009343CB"/>
    <w:rsid w:val="0093472A"/>
    <w:rsid w:val="0093491C"/>
    <w:rsid w:val="009352DF"/>
    <w:rsid w:val="00936485"/>
    <w:rsid w:val="00937A5E"/>
    <w:rsid w:val="00940947"/>
    <w:rsid w:val="009410CE"/>
    <w:rsid w:val="00941136"/>
    <w:rsid w:val="009416CB"/>
    <w:rsid w:val="0094175A"/>
    <w:rsid w:val="00941F91"/>
    <w:rsid w:val="009422EC"/>
    <w:rsid w:val="00942A11"/>
    <w:rsid w:val="00943B6C"/>
    <w:rsid w:val="00943E12"/>
    <w:rsid w:val="009456C7"/>
    <w:rsid w:val="00945E43"/>
    <w:rsid w:val="00946287"/>
    <w:rsid w:val="009462F9"/>
    <w:rsid w:val="00946E95"/>
    <w:rsid w:val="0094740E"/>
    <w:rsid w:val="009477F3"/>
    <w:rsid w:val="00950195"/>
    <w:rsid w:val="009504DA"/>
    <w:rsid w:val="009509BA"/>
    <w:rsid w:val="00950CFA"/>
    <w:rsid w:val="00950D50"/>
    <w:rsid w:val="0095129C"/>
    <w:rsid w:val="00951869"/>
    <w:rsid w:val="009526E0"/>
    <w:rsid w:val="00952E20"/>
    <w:rsid w:val="00953368"/>
    <w:rsid w:val="00953C2C"/>
    <w:rsid w:val="00954D86"/>
    <w:rsid w:val="00955870"/>
    <w:rsid w:val="00955E4A"/>
    <w:rsid w:val="009563CC"/>
    <w:rsid w:val="009564F9"/>
    <w:rsid w:val="00956908"/>
    <w:rsid w:val="0095794D"/>
    <w:rsid w:val="00957CF2"/>
    <w:rsid w:val="00957D8E"/>
    <w:rsid w:val="00957EED"/>
    <w:rsid w:val="00957F9C"/>
    <w:rsid w:val="0096035B"/>
    <w:rsid w:val="00960948"/>
    <w:rsid w:val="0096130D"/>
    <w:rsid w:val="0096169C"/>
    <w:rsid w:val="00961EB3"/>
    <w:rsid w:val="00962181"/>
    <w:rsid w:val="00962CD0"/>
    <w:rsid w:val="00963722"/>
    <w:rsid w:val="00963B60"/>
    <w:rsid w:val="00964949"/>
    <w:rsid w:val="00965526"/>
    <w:rsid w:val="009655CE"/>
    <w:rsid w:val="009666E0"/>
    <w:rsid w:val="009668FF"/>
    <w:rsid w:val="00966BD7"/>
    <w:rsid w:val="00966E8D"/>
    <w:rsid w:val="00967661"/>
    <w:rsid w:val="00967D93"/>
    <w:rsid w:val="00967FD4"/>
    <w:rsid w:val="009704BD"/>
    <w:rsid w:val="00970805"/>
    <w:rsid w:val="00970EA7"/>
    <w:rsid w:val="0097140F"/>
    <w:rsid w:val="00971473"/>
    <w:rsid w:val="009719C1"/>
    <w:rsid w:val="00971BA4"/>
    <w:rsid w:val="00971C06"/>
    <w:rsid w:val="00971C11"/>
    <w:rsid w:val="00971D00"/>
    <w:rsid w:val="009727C9"/>
    <w:rsid w:val="00972933"/>
    <w:rsid w:val="0097295D"/>
    <w:rsid w:val="00974251"/>
    <w:rsid w:val="00974299"/>
    <w:rsid w:val="00974487"/>
    <w:rsid w:val="00975508"/>
    <w:rsid w:val="009757E1"/>
    <w:rsid w:val="00975DF1"/>
    <w:rsid w:val="009762BC"/>
    <w:rsid w:val="0097669A"/>
    <w:rsid w:val="00977C74"/>
    <w:rsid w:val="00977D3F"/>
    <w:rsid w:val="00980DBF"/>
    <w:rsid w:val="009817E9"/>
    <w:rsid w:val="0098203B"/>
    <w:rsid w:val="009821BD"/>
    <w:rsid w:val="00984806"/>
    <w:rsid w:val="00984CE5"/>
    <w:rsid w:val="00984F87"/>
    <w:rsid w:val="00985699"/>
    <w:rsid w:val="00985A54"/>
    <w:rsid w:val="009869E6"/>
    <w:rsid w:val="009872CC"/>
    <w:rsid w:val="00987E05"/>
    <w:rsid w:val="009907E4"/>
    <w:rsid w:val="009910DF"/>
    <w:rsid w:val="00991908"/>
    <w:rsid w:val="00991D8C"/>
    <w:rsid w:val="00992871"/>
    <w:rsid w:val="00992EB0"/>
    <w:rsid w:val="00994049"/>
    <w:rsid w:val="0099442C"/>
    <w:rsid w:val="00994DC5"/>
    <w:rsid w:val="009950E2"/>
    <w:rsid w:val="009955A6"/>
    <w:rsid w:val="009960B7"/>
    <w:rsid w:val="009966E6"/>
    <w:rsid w:val="00996A49"/>
    <w:rsid w:val="00996D64"/>
    <w:rsid w:val="00996FDC"/>
    <w:rsid w:val="00997472"/>
    <w:rsid w:val="009A1892"/>
    <w:rsid w:val="009A1DBB"/>
    <w:rsid w:val="009A2E3F"/>
    <w:rsid w:val="009A316E"/>
    <w:rsid w:val="009A45DC"/>
    <w:rsid w:val="009A4819"/>
    <w:rsid w:val="009A4A22"/>
    <w:rsid w:val="009A4F4C"/>
    <w:rsid w:val="009A6503"/>
    <w:rsid w:val="009A6CDC"/>
    <w:rsid w:val="009A6D8D"/>
    <w:rsid w:val="009A6FEA"/>
    <w:rsid w:val="009A7156"/>
    <w:rsid w:val="009A7343"/>
    <w:rsid w:val="009A78AC"/>
    <w:rsid w:val="009A7D4F"/>
    <w:rsid w:val="009B2626"/>
    <w:rsid w:val="009B2A7F"/>
    <w:rsid w:val="009B2CC2"/>
    <w:rsid w:val="009B43B7"/>
    <w:rsid w:val="009B44AD"/>
    <w:rsid w:val="009B4A45"/>
    <w:rsid w:val="009B4D4B"/>
    <w:rsid w:val="009B4E55"/>
    <w:rsid w:val="009B53A2"/>
    <w:rsid w:val="009B5B1B"/>
    <w:rsid w:val="009B5C32"/>
    <w:rsid w:val="009B6257"/>
    <w:rsid w:val="009B6BB4"/>
    <w:rsid w:val="009B72FA"/>
    <w:rsid w:val="009B768E"/>
    <w:rsid w:val="009B7F5D"/>
    <w:rsid w:val="009C00CA"/>
    <w:rsid w:val="009C0AEC"/>
    <w:rsid w:val="009C0CDC"/>
    <w:rsid w:val="009C0E76"/>
    <w:rsid w:val="009C118C"/>
    <w:rsid w:val="009C166E"/>
    <w:rsid w:val="009C2237"/>
    <w:rsid w:val="009C2396"/>
    <w:rsid w:val="009C3018"/>
    <w:rsid w:val="009C31A7"/>
    <w:rsid w:val="009C3389"/>
    <w:rsid w:val="009C40F8"/>
    <w:rsid w:val="009C42CD"/>
    <w:rsid w:val="009C4681"/>
    <w:rsid w:val="009C4C4D"/>
    <w:rsid w:val="009C4EB7"/>
    <w:rsid w:val="009C6DF0"/>
    <w:rsid w:val="009C6FD5"/>
    <w:rsid w:val="009C7042"/>
    <w:rsid w:val="009C728B"/>
    <w:rsid w:val="009C745F"/>
    <w:rsid w:val="009D0A01"/>
    <w:rsid w:val="009D1331"/>
    <w:rsid w:val="009D1DA7"/>
    <w:rsid w:val="009D34CC"/>
    <w:rsid w:val="009D394F"/>
    <w:rsid w:val="009D3BBA"/>
    <w:rsid w:val="009D4EEE"/>
    <w:rsid w:val="009D52B4"/>
    <w:rsid w:val="009D6E5A"/>
    <w:rsid w:val="009D7094"/>
    <w:rsid w:val="009D729E"/>
    <w:rsid w:val="009E0266"/>
    <w:rsid w:val="009E1559"/>
    <w:rsid w:val="009E24A5"/>
    <w:rsid w:val="009E27F8"/>
    <w:rsid w:val="009E34F0"/>
    <w:rsid w:val="009E38A7"/>
    <w:rsid w:val="009E3DB0"/>
    <w:rsid w:val="009E3FB9"/>
    <w:rsid w:val="009E6803"/>
    <w:rsid w:val="009E6BCA"/>
    <w:rsid w:val="009E73BD"/>
    <w:rsid w:val="009E7A85"/>
    <w:rsid w:val="009F004F"/>
    <w:rsid w:val="009F0119"/>
    <w:rsid w:val="009F114F"/>
    <w:rsid w:val="009F2241"/>
    <w:rsid w:val="009F23DC"/>
    <w:rsid w:val="009F244D"/>
    <w:rsid w:val="009F2B97"/>
    <w:rsid w:val="009F3359"/>
    <w:rsid w:val="009F3532"/>
    <w:rsid w:val="009F3AF7"/>
    <w:rsid w:val="009F415E"/>
    <w:rsid w:val="009F475E"/>
    <w:rsid w:val="009F4DA1"/>
    <w:rsid w:val="009F5DB2"/>
    <w:rsid w:val="009F5FF6"/>
    <w:rsid w:val="009F61E6"/>
    <w:rsid w:val="009F6341"/>
    <w:rsid w:val="009F7290"/>
    <w:rsid w:val="009F769F"/>
    <w:rsid w:val="00A00227"/>
    <w:rsid w:val="00A0128E"/>
    <w:rsid w:val="00A01B0D"/>
    <w:rsid w:val="00A01BBA"/>
    <w:rsid w:val="00A026BC"/>
    <w:rsid w:val="00A029A8"/>
    <w:rsid w:val="00A0333D"/>
    <w:rsid w:val="00A0362A"/>
    <w:rsid w:val="00A03746"/>
    <w:rsid w:val="00A044E9"/>
    <w:rsid w:val="00A045E4"/>
    <w:rsid w:val="00A04F22"/>
    <w:rsid w:val="00A060F0"/>
    <w:rsid w:val="00A06A8A"/>
    <w:rsid w:val="00A06CED"/>
    <w:rsid w:val="00A06FB4"/>
    <w:rsid w:val="00A06FBF"/>
    <w:rsid w:val="00A070B2"/>
    <w:rsid w:val="00A072FB"/>
    <w:rsid w:val="00A10548"/>
    <w:rsid w:val="00A10688"/>
    <w:rsid w:val="00A10E01"/>
    <w:rsid w:val="00A1117E"/>
    <w:rsid w:val="00A113FD"/>
    <w:rsid w:val="00A11447"/>
    <w:rsid w:val="00A12618"/>
    <w:rsid w:val="00A12D16"/>
    <w:rsid w:val="00A12ED9"/>
    <w:rsid w:val="00A13990"/>
    <w:rsid w:val="00A14335"/>
    <w:rsid w:val="00A15728"/>
    <w:rsid w:val="00A15A30"/>
    <w:rsid w:val="00A16685"/>
    <w:rsid w:val="00A16A74"/>
    <w:rsid w:val="00A172BA"/>
    <w:rsid w:val="00A17864"/>
    <w:rsid w:val="00A2027A"/>
    <w:rsid w:val="00A20421"/>
    <w:rsid w:val="00A22504"/>
    <w:rsid w:val="00A23578"/>
    <w:rsid w:val="00A23E79"/>
    <w:rsid w:val="00A25005"/>
    <w:rsid w:val="00A25B6A"/>
    <w:rsid w:val="00A26170"/>
    <w:rsid w:val="00A30078"/>
    <w:rsid w:val="00A3019C"/>
    <w:rsid w:val="00A3023B"/>
    <w:rsid w:val="00A3065A"/>
    <w:rsid w:val="00A31D0E"/>
    <w:rsid w:val="00A3297D"/>
    <w:rsid w:val="00A330BE"/>
    <w:rsid w:val="00A33B37"/>
    <w:rsid w:val="00A34396"/>
    <w:rsid w:val="00A34881"/>
    <w:rsid w:val="00A34F51"/>
    <w:rsid w:val="00A35322"/>
    <w:rsid w:val="00A35529"/>
    <w:rsid w:val="00A36247"/>
    <w:rsid w:val="00A36461"/>
    <w:rsid w:val="00A379CA"/>
    <w:rsid w:val="00A379FB"/>
    <w:rsid w:val="00A4015B"/>
    <w:rsid w:val="00A40775"/>
    <w:rsid w:val="00A40C89"/>
    <w:rsid w:val="00A41263"/>
    <w:rsid w:val="00A422C9"/>
    <w:rsid w:val="00A42ABA"/>
    <w:rsid w:val="00A42FDD"/>
    <w:rsid w:val="00A4388F"/>
    <w:rsid w:val="00A43DF5"/>
    <w:rsid w:val="00A4404F"/>
    <w:rsid w:val="00A44782"/>
    <w:rsid w:val="00A44CA2"/>
    <w:rsid w:val="00A44DE5"/>
    <w:rsid w:val="00A45B00"/>
    <w:rsid w:val="00A47D82"/>
    <w:rsid w:val="00A47F9B"/>
    <w:rsid w:val="00A5135B"/>
    <w:rsid w:val="00A51D82"/>
    <w:rsid w:val="00A520E3"/>
    <w:rsid w:val="00A52D28"/>
    <w:rsid w:val="00A52F95"/>
    <w:rsid w:val="00A530A1"/>
    <w:rsid w:val="00A533CE"/>
    <w:rsid w:val="00A53814"/>
    <w:rsid w:val="00A53DD2"/>
    <w:rsid w:val="00A54A43"/>
    <w:rsid w:val="00A55126"/>
    <w:rsid w:val="00A552FB"/>
    <w:rsid w:val="00A554EC"/>
    <w:rsid w:val="00A55D33"/>
    <w:rsid w:val="00A566D5"/>
    <w:rsid w:val="00A56856"/>
    <w:rsid w:val="00A603B0"/>
    <w:rsid w:val="00A60861"/>
    <w:rsid w:val="00A610B9"/>
    <w:rsid w:val="00A619D0"/>
    <w:rsid w:val="00A620D2"/>
    <w:rsid w:val="00A62DD8"/>
    <w:rsid w:val="00A64797"/>
    <w:rsid w:val="00A6509B"/>
    <w:rsid w:val="00A653B5"/>
    <w:rsid w:val="00A6563B"/>
    <w:rsid w:val="00A65B7B"/>
    <w:rsid w:val="00A66483"/>
    <w:rsid w:val="00A6686E"/>
    <w:rsid w:val="00A717C3"/>
    <w:rsid w:val="00A71F4F"/>
    <w:rsid w:val="00A71F9A"/>
    <w:rsid w:val="00A72957"/>
    <w:rsid w:val="00A72C56"/>
    <w:rsid w:val="00A73ECA"/>
    <w:rsid w:val="00A74127"/>
    <w:rsid w:val="00A744CF"/>
    <w:rsid w:val="00A76161"/>
    <w:rsid w:val="00A76955"/>
    <w:rsid w:val="00A76EAE"/>
    <w:rsid w:val="00A77141"/>
    <w:rsid w:val="00A801C3"/>
    <w:rsid w:val="00A80603"/>
    <w:rsid w:val="00A81AA1"/>
    <w:rsid w:val="00A81BE5"/>
    <w:rsid w:val="00A81D12"/>
    <w:rsid w:val="00A81E62"/>
    <w:rsid w:val="00A82EF6"/>
    <w:rsid w:val="00A83BF2"/>
    <w:rsid w:val="00A83D8F"/>
    <w:rsid w:val="00A83FF5"/>
    <w:rsid w:val="00A8407E"/>
    <w:rsid w:val="00A847D1"/>
    <w:rsid w:val="00A84B1A"/>
    <w:rsid w:val="00A85341"/>
    <w:rsid w:val="00A858EA"/>
    <w:rsid w:val="00A85C9B"/>
    <w:rsid w:val="00A86A3F"/>
    <w:rsid w:val="00A877AE"/>
    <w:rsid w:val="00A90715"/>
    <w:rsid w:val="00A90A94"/>
    <w:rsid w:val="00A90B1B"/>
    <w:rsid w:val="00A90CAB"/>
    <w:rsid w:val="00A9217F"/>
    <w:rsid w:val="00A92DF3"/>
    <w:rsid w:val="00A9303C"/>
    <w:rsid w:val="00A93500"/>
    <w:rsid w:val="00A9354E"/>
    <w:rsid w:val="00A93B54"/>
    <w:rsid w:val="00A94FD0"/>
    <w:rsid w:val="00A953CD"/>
    <w:rsid w:val="00A9611E"/>
    <w:rsid w:val="00A96E37"/>
    <w:rsid w:val="00A970C5"/>
    <w:rsid w:val="00AA037B"/>
    <w:rsid w:val="00AA08E4"/>
    <w:rsid w:val="00AA0E11"/>
    <w:rsid w:val="00AA1599"/>
    <w:rsid w:val="00AA1E50"/>
    <w:rsid w:val="00AA1FC2"/>
    <w:rsid w:val="00AA3AC2"/>
    <w:rsid w:val="00AA3E02"/>
    <w:rsid w:val="00AA4B06"/>
    <w:rsid w:val="00AA5432"/>
    <w:rsid w:val="00AA5854"/>
    <w:rsid w:val="00AA58C3"/>
    <w:rsid w:val="00AA58C8"/>
    <w:rsid w:val="00AA58F8"/>
    <w:rsid w:val="00AA5CD5"/>
    <w:rsid w:val="00AA6032"/>
    <w:rsid w:val="00AA695D"/>
    <w:rsid w:val="00AA6BC4"/>
    <w:rsid w:val="00AA6E77"/>
    <w:rsid w:val="00AA70B0"/>
    <w:rsid w:val="00AA7F69"/>
    <w:rsid w:val="00AB1E2F"/>
    <w:rsid w:val="00AB24AE"/>
    <w:rsid w:val="00AB3386"/>
    <w:rsid w:val="00AB4CCE"/>
    <w:rsid w:val="00AB54B2"/>
    <w:rsid w:val="00AB61D3"/>
    <w:rsid w:val="00AB678D"/>
    <w:rsid w:val="00AB7002"/>
    <w:rsid w:val="00AB7CCE"/>
    <w:rsid w:val="00AC0453"/>
    <w:rsid w:val="00AC09AB"/>
    <w:rsid w:val="00AC0A07"/>
    <w:rsid w:val="00AC0B4D"/>
    <w:rsid w:val="00AC10FB"/>
    <w:rsid w:val="00AC1638"/>
    <w:rsid w:val="00AC2891"/>
    <w:rsid w:val="00AC2DA0"/>
    <w:rsid w:val="00AC319D"/>
    <w:rsid w:val="00AC3453"/>
    <w:rsid w:val="00AC4603"/>
    <w:rsid w:val="00AC46B4"/>
    <w:rsid w:val="00AC586B"/>
    <w:rsid w:val="00AC6665"/>
    <w:rsid w:val="00AC69DD"/>
    <w:rsid w:val="00AC72FD"/>
    <w:rsid w:val="00AC776D"/>
    <w:rsid w:val="00AC7AD8"/>
    <w:rsid w:val="00AD07AD"/>
    <w:rsid w:val="00AD124D"/>
    <w:rsid w:val="00AD23B9"/>
    <w:rsid w:val="00AD28E0"/>
    <w:rsid w:val="00AD2CE8"/>
    <w:rsid w:val="00AD3200"/>
    <w:rsid w:val="00AD5F56"/>
    <w:rsid w:val="00AD6B96"/>
    <w:rsid w:val="00AD780F"/>
    <w:rsid w:val="00AD7C8E"/>
    <w:rsid w:val="00AE2869"/>
    <w:rsid w:val="00AE2C33"/>
    <w:rsid w:val="00AE2FCA"/>
    <w:rsid w:val="00AE35B0"/>
    <w:rsid w:val="00AE4034"/>
    <w:rsid w:val="00AE4884"/>
    <w:rsid w:val="00AE5D9B"/>
    <w:rsid w:val="00AF0213"/>
    <w:rsid w:val="00AF09E6"/>
    <w:rsid w:val="00AF1C44"/>
    <w:rsid w:val="00AF1D29"/>
    <w:rsid w:val="00AF2285"/>
    <w:rsid w:val="00AF2B4B"/>
    <w:rsid w:val="00AF2C03"/>
    <w:rsid w:val="00AF321E"/>
    <w:rsid w:val="00AF3733"/>
    <w:rsid w:val="00AF4935"/>
    <w:rsid w:val="00AF4E54"/>
    <w:rsid w:val="00AF61E5"/>
    <w:rsid w:val="00AF7BCA"/>
    <w:rsid w:val="00B00813"/>
    <w:rsid w:val="00B0161F"/>
    <w:rsid w:val="00B017BC"/>
    <w:rsid w:val="00B029B3"/>
    <w:rsid w:val="00B04180"/>
    <w:rsid w:val="00B0440A"/>
    <w:rsid w:val="00B04C25"/>
    <w:rsid w:val="00B05651"/>
    <w:rsid w:val="00B05689"/>
    <w:rsid w:val="00B05B91"/>
    <w:rsid w:val="00B06753"/>
    <w:rsid w:val="00B070B4"/>
    <w:rsid w:val="00B07CD8"/>
    <w:rsid w:val="00B1042A"/>
    <w:rsid w:val="00B10B89"/>
    <w:rsid w:val="00B10DDB"/>
    <w:rsid w:val="00B10E31"/>
    <w:rsid w:val="00B11733"/>
    <w:rsid w:val="00B129F9"/>
    <w:rsid w:val="00B13BEC"/>
    <w:rsid w:val="00B14391"/>
    <w:rsid w:val="00B155FA"/>
    <w:rsid w:val="00B1653E"/>
    <w:rsid w:val="00B203CB"/>
    <w:rsid w:val="00B209B3"/>
    <w:rsid w:val="00B2188F"/>
    <w:rsid w:val="00B21B6C"/>
    <w:rsid w:val="00B226DC"/>
    <w:rsid w:val="00B22718"/>
    <w:rsid w:val="00B22824"/>
    <w:rsid w:val="00B22D50"/>
    <w:rsid w:val="00B23E90"/>
    <w:rsid w:val="00B24A91"/>
    <w:rsid w:val="00B2548B"/>
    <w:rsid w:val="00B256C9"/>
    <w:rsid w:val="00B25700"/>
    <w:rsid w:val="00B25BAF"/>
    <w:rsid w:val="00B25DDD"/>
    <w:rsid w:val="00B25FDC"/>
    <w:rsid w:val="00B26644"/>
    <w:rsid w:val="00B2716E"/>
    <w:rsid w:val="00B2744E"/>
    <w:rsid w:val="00B2764F"/>
    <w:rsid w:val="00B27724"/>
    <w:rsid w:val="00B307A1"/>
    <w:rsid w:val="00B307BB"/>
    <w:rsid w:val="00B30D94"/>
    <w:rsid w:val="00B3164A"/>
    <w:rsid w:val="00B3298E"/>
    <w:rsid w:val="00B33ADA"/>
    <w:rsid w:val="00B35D1E"/>
    <w:rsid w:val="00B35D69"/>
    <w:rsid w:val="00B361B2"/>
    <w:rsid w:val="00B36D71"/>
    <w:rsid w:val="00B37BF8"/>
    <w:rsid w:val="00B41F28"/>
    <w:rsid w:val="00B420CD"/>
    <w:rsid w:val="00B423C3"/>
    <w:rsid w:val="00B4278D"/>
    <w:rsid w:val="00B42F09"/>
    <w:rsid w:val="00B43108"/>
    <w:rsid w:val="00B43260"/>
    <w:rsid w:val="00B43672"/>
    <w:rsid w:val="00B4381A"/>
    <w:rsid w:val="00B440A1"/>
    <w:rsid w:val="00B44DDB"/>
    <w:rsid w:val="00B46090"/>
    <w:rsid w:val="00B46712"/>
    <w:rsid w:val="00B468CA"/>
    <w:rsid w:val="00B47033"/>
    <w:rsid w:val="00B475E8"/>
    <w:rsid w:val="00B508B5"/>
    <w:rsid w:val="00B50E34"/>
    <w:rsid w:val="00B50FA7"/>
    <w:rsid w:val="00B51119"/>
    <w:rsid w:val="00B5179D"/>
    <w:rsid w:val="00B520C5"/>
    <w:rsid w:val="00B5253B"/>
    <w:rsid w:val="00B527E5"/>
    <w:rsid w:val="00B52C0E"/>
    <w:rsid w:val="00B52FFE"/>
    <w:rsid w:val="00B53CBC"/>
    <w:rsid w:val="00B53F92"/>
    <w:rsid w:val="00B54952"/>
    <w:rsid w:val="00B54A27"/>
    <w:rsid w:val="00B55379"/>
    <w:rsid w:val="00B55A59"/>
    <w:rsid w:val="00B55C87"/>
    <w:rsid w:val="00B5649E"/>
    <w:rsid w:val="00B5692D"/>
    <w:rsid w:val="00B56B7D"/>
    <w:rsid w:val="00B576D6"/>
    <w:rsid w:val="00B57831"/>
    <w:rsid w:val="00B61250"/>
    <w:rsid w:val="00B6179C"/>
    <w:rsid w:val="00B61C8D"/>
    <w:rsid w:val="00B61D51"/>
    <w:rsid w:val="00B62061"/>
    <w:rsid w:val="00B62610"/>
    <w:rsid w:val="00B6274A"/>
    <w:rsid w:val="00B627C2"/>
    <w:rsid w:val="00B62F58"/>
    <w:rsid w:val="00B63388"/>
    <w:rsid w:val="00B63AD9"/>
    <w:rsid w:val="00B63E78"/>
    <w:rsid w:val="00B65AB3"/>
    <w:rsid w:val="00B65F07"/>
    <w:rsid w:val="00B667F7"/>
    <w:rsid w:val="00B70C01"/>
    <w:rsid w:val="00B71313"/>
    <w:rsid w:val="00B71375"/>
    <w:rsid w:val="00B7151B"/>
    <w:rsid w:val="00B73548"/>
    <w:rsid w:val="00B73AF6"/>
    <w:rsid w:val="00B7420A"/>
    <w:rsid w:val="00B752BA"/>
    <w:rsid w:val="00B75B6F"/>
    <w:rsid w:val="00B762A0"/>
    <w:rsid w:val="00B76E43"/>
    <w:rsid w:val="00B77128"/>
    <w:rsid w:val="00B772A8"/>
    <w:rsid w:val="00B7735A"/>
    <w:rsid w:val="00B81447"/>
    <w:rsid w:val="00B81E85"/>
    <w:rsid w:val="00B82690"/>
    <w:rsid w:val="00B82FB3"/>
    <w:rsid w:val="00B84D10"/>
    <w:rsid w:val="00B852C2"/>
    <w:rsid w:val="00B8624B"/>
    <w:rsid w:val="00B86254"/>
    <w:rsid w:val="00B8627A"/>
    <w:rsid w:val="00B8652E"/>
    <w:rsid w:val="00B86CF8"/>
    <w:rsid w:val="00B87B5B"/>
    <w:rsid w:val="00B915F4"/>
    <w:rsid w:val="00B9208F"/>
    <w:rsid w:val="00B93A22"/>
    <w:rsid w:val="00B93ADD"/>
    <w:rsid w:val="00B93DD5"/>
    <w:rsid w:val="00B941C7"/>
    <w:rsid w:val="00B95A78"/>
    <w:rsid w:val="00B963E0"/>
    <w:rsid w:val="00B96592"/>
    <w:rsid w:val="00B966CE"/>
    <w:rsid w:val="00B967E9"/>
    <w:rsid w:val="00B9699F"/>
    <w:rsid w:val="00B96EEB"/>
    <w:rsid w:val="00BA0E04"/>
    <w:rsid w:val="00BA1BD3"/>
    <w:rsid w:val="00BA2000"/>
    <w:rsid w:val="00BA3C67"/>
    <w:rsid w:val="00BA465A"/>
    <w:rsid w:val="00BA4934"/>
    <w:rsid w:val="00BA6280"/>
    <w:rsid w:val="00BA6990"/>
    <w:rsid w:val="00BA7630"/>
    <w:rsid w:val="00BA76DC"/>
    <w:rsid w:val="00BA7C56"/>
    <w:rsid w:val="00BB1F3A"/>
    <w:rsid w:val="00BB2340"/>
    <w:rsid w:val="00BB36F3"/>
    <w:rsid w:val="00BB39D6"/>
    <w:rsid w:val="00BB3B12"/>
    <w:rsid w:val="00BB4398"/>
    <w:rsid w:val="00BB43BF"/>
    <w:rsid w:val="00BB4DF5"/>
    <w:rsid w:val="00BB4E2E"/>
    <w:rsid w:val="00BB52E5"/>
    <w:rsid w:val="00BB5391"/>
    <w:rsid w:val="00BB5ED9"/>
    <w:rsid w:val="00BB6BC1"/>
    <w:rsid w:val="00BB6CE7"/>
    <w:rsid w:val="00BB7CA0"/>
    <w:rsid w:val="00BB7D7D"/>
    <w:rsid w:val="00BC0629"/>
    <w:rsid w:val="00BC182B"/>
    <w:rsid w:val="00BC2C0C"/>
    <w:rsid w:val="00BC35F4"/>
    <w:rsid w:val="00BC38D6"/>
    <w:rsid w:val="00BC3DDE"/>
    <w:rsid w:val="00BC4725"/>
    <w:rsid w:val="00BC5F07"/>
    <w:rsid w:val="00BC63FA"/>
    <w:rsid w:val="00BC68B6"/>
    <w:rsid w:val="00BC6C93"/>
    <w:rsid w:val="00BC7CAB"/>
    <w:rsid w:val="00BC7DDC"/>
    <w:rsid w:val="00BD0491"/>
    <w:rsid w:val="00BD066D"/>
    <w:rsid w:val="00BD0811"/>
    <w:rsid w:val="00BD0DE8"/>
    <w:rsid w:val="00BD110E"/>
    <w:rsid w:val="00BD1170"/>
    <w:rsid w:val="00BD1607"/>
    <w:rsid w:val="00BD1BD1"/>
    <w:rsid w:val="00BD25D6"/>
    <w:rsid w:val="00BD29E3"/>
    <w:rsid w:val="00BD3477"/>
    <w:rsid w:val="00BD3621"/>
    <w:rsid w:val="00BD37BB"/>
    <w:rsid w:val="00BD3D1C"/>
    <w:rsid w:val="00BD42FA"/>
    <w:rsid w:val="00BD4EA1"/>
    <w:rsid w:val="00BD4EBB"/>
    <w:rsid w:val="00BD5194"/>
    <w:rsid w:val="00BD51AD"/>
    <w:rsid w:val="00BD5B4D"/>
    <w:rsid w:val="00BD5B73"/>
    <w:rsid w:val="00BD6DA2"/>
    <w:rsid w:val="00BD7F28"/>
    <w:rsid w:val="00BE079A"/>
    <w:rsid w:val="00BE08FD"/>
    <w:rsid w:val="00BE0E66"/>
    <w:rsid w:val="00BE25DE"/>
    <w:rsid w:val="00BE4788"/>
    <w:rsid w:val="00BE505F"/>
    <w:rsid w:val="00BE51A6"/>
    <w:rsid w:val="00BE53E2"/>
    <w:rsid w:val="00BE5451"/>
    <w:rsid w:val="00BE5F0C"/>
    <w:rsid w:val="00BE6ACE"/>
    <w:rsid w:val="00BE6B0B"/>
    <w:rsid w:val="00BE6C0C"/>
    <w:rsid w:val="00BE7186"/>
    <w:rsid w:val="00BE75FF"/>
    <w:rsid w:val="00BE7656"/>
    <w:rsid w:val="00BF0C02"/>
    <w:rsid w:val="00BF1ACC"/>
    <w:rsid w:val="00BF1AD1"/>
    <w:rsid w:val="00BF2376"/>
    <w:rsid w:val="00BF391A"/>
    <w:rsid w:val="00BF59FA"/>
    <w:rsid w:val="00BF6918"/>
    <w:rsid w:val="00BF7206"/>
    <w:rsid w:val="00BF767D"/>
    <w:rsid w:val="00BF7EDD"/>
    <w:rsid w:val="00C0036E"/>
    <w:rsid w:val="00C00C85"/>
    <w:rsid w:val="00C01703"/>
    <w:rsid w:val="00C028CC"/>
    <w:rsid w:val="00C02D7B"/>
    <w:rsid w:val="00C02DFC"/>
    <w:rsid w:val="00C030F4"/>
    <w:rsid w:val="00C03B2F"/>
    <w:rsid w:val="00C042FC"/>
    <w:rsid w:val="00C046D0"/>
    <w:rsid w:val="00C04828"/>
    <w:rsid w:val="00C05413"/>
    <w:rsid w:val="00C0597F"/>
    <w:rsid w:val="00C10427"/>
    <w:rsid w:val="00C116C4"/>
    <w:rsid w:val="00C13540"/>
    <w:rsid w:val="00C13AC0"/>
    <w:rsid w:val="00C13E36"/>
    <w:rsid w:val="00C13F15"/>
    <w:rsid w:val="00C1472E"/>
    <w:rsid w:val="00C15CEB"/>
    <w:rsid w:val="00C175D8"/>
    <w:rsid w:val="00C17853"/>
    <w:rsid w:val="00C17CDE"/>
    <w:rsid w:val="00C218F3"/>
    <w:rsid w:val="00C23755"/>
    <w:rsid w:val="00C24FB6"/>
    <w:rsid w:val="00C26365"/>
    <w:rsid w:val="00C263F2"/>
    <w:rsid w:val="00C26896"/>
    <w:rsid w:val="00C27425"/>
    <w:rsid w:val="00C3083D"/>
    <w:rsid w:val="00C30BA4"/>
    <w:rsid w:val="00C322BF"/>
    <w:rsid w:val="00C32638"/>
    <w:rsid w:val="00C32E1D"/>
    <w:rsid w:val="00C34268"/>
    <w:rsid w:val="00C34F8A"/>
    <w:rsid w:val="00C35AFE"/>
    <w:rsid w:val="00C3685D"/>
    <w:rsid w:val="00C3718A"/>
    <w:rsid w:val="00C37936"/>
    <w:rsid w:val="00C37E14"/>
    <w:rsid w:val="00C407FB"/>
    <w:rsid w:val="00C40D70"/>
    <w:rsid w:val="00C41230"/>
    <w:rsid w:val="00C41900"/>
    <w:rsid w:val="00C41A77"/>
    <w:rsid w:val="00C41E01"/>
    <w:rsid w:val="00C41E52"/>
    <w:rsid w:val="00C426DB"/>
    <w:rsid w:val="00C429AA"/>
    <w:rsid w:val="00C430CE"/>
    <w:rsid w:val="00C4313F"/>
    <w:rsid w:val="00C43592"/>
    <w:rsid w:val="00C43D43"/>
    <w:rsid w:val="00C44E1F"/>
    <w:rsid w:val="00C45A6A"/>
    <w:rsid w:val="00C473C6"/>
    <w:rsid w:val="00C47686"/>
    <w:rsid w:val="00C47DBC"/>
    <w:rsid w:val="00C50FAA"/>
    <w:rsid w:val="00C51F04"/>
    <w:rsid w:val="00C5301F"/>
    <w:rsid w:val="00C53202"/>
    <w:rsid w:val="00C5399E"/>
    <w:rsid w:val="00C53A03"/>
    <w:rsid w:val="00C54AE6"/>
    <w:rsid w:val="00C54BAE"/>
    <w:rsid w:val="00C561E0"/>
    <w:rsid w:val="00C56F6E"/>
    <w:rsid w:val="00C575CD"/>
    <w:rsid w:val="00C61593"/>
    <w:rsid w:val="00C615E6"/>
    <w:rsid w:val="00C62050"/>
    <w:rsid w:val="00C6314E"/>
    <w:rsid w:val="00C6435C"/>
    <w:rsid w:val="00C65187"/>
    <w:rsid w:val="00C6536D"/>
    <w:rsid w:val="00C65E66"/>
    <w:rsid w:val="00C66C49"/>
    <w:rsid w:val="00C66F47"/>
    <w:rsid w:val="00C674EF"/>
    <w:rsid w:val="00C67D0C"/>
    <w:rsid w:val="00C67E14"/>
    <w:rsid w:val="00C70316"/>
    <w:rsid w:val="00C70923"/>
    <w:rsid w:val="00C71190"/>
    <w:rsid w:val="00C71624"/>
    <w:rsid w:val="00C71639"/>
    <w:rsid w:val="00C71A13"/>
    <w:rsid w:val="00C72E33"/>
    <w:rsid w:val="00C7367F"/>
    <w:rsid w:val="00C73ABC"/>
    <w:rsid w:val="00C73EA3"/>
    <w:rsid w:val="00C74535"/>
    <w:rsid w:val="00C7578C"/>
    <w:rsid w:val="00C75B56"/>
    <w:rsid w:val="00C7647F"/>
    <w:rsid w:val="00C766F2"/>
    <w:rsid w:val="00C76C15"/>
    <w:rsid w:val="00C778FF"/>
    <w:rsid w:val="00C779BD"/>
    <w:rsid w:val="00C80B10"/>
    <w:rsid w:val="00C80F0A"/>
    <w:rsid w:val="00C81789"/>
    <w:rsid w:val="00C81A20"/>
    <w:rsid w:val="00C81C2B"/>
    <w:rsid w:val="00C831C7"/>
    <w:rsid w:val="00C8337C"/>
    <w:rsid w:val="00C83B9B"/>
    <w:rsid w:val="00C83CD1"/>
    <w:rsid w:val="00C83EDD"/>
    <w:rsid w:val="00C8569F"/>
    <w:rsid w:val="00C860A0"/>
    <w:rsid w:val="00C865F5"/>
    <w:rsid w:val="00C86A84"/>
    <w:rsid w:val="00C870E9"/>
    <w:rsid w:val="00C87A99"/>
    <w:rsid w:val="00C901F9"/>
    <w:rsid w:val="00C910F5"/>
    <w:rsid w:val="00C91891"/>
    <w:rsid w:val="00C91920"/>
    <w:rsid w:val="00C91A36"/>
    <w:rsid w:val="00C91B5F"/>
    <w:rsid w:val="00C9388E"/>
    <w:rsid w:val="00C9416A"/>
    <w:rsid w:val="00C94B37"/>
    <w:rsid w:val="00C95279"/>
    <w:rsid w:val="00C9534C"/>
    <w:rsid w:val="00C95DB1"/>
    <w:rsid w:val="00C96075"/>
    <w:rsid w:val="00C96915"/>
    <w:rsid w:val="00C96FBB"/>
    <w:rsid w:val="00C970F3"/>
    <w:rsid w:val="00C97805"/>
    <w:rsid w:val="00CA0492"/>
    <w:rsid w:val="00CA0C0C"/>
    <w:rsid w:val="00CA0F36"/>
    <w:rsid w:val="00CA16E6"/>
    <w:rsid w:val="00CA1C05"/>
    <w:rsid w:val="00CA20AA"/>
    <w:rsid w:val="00CA2BE8"/>
    <w:rsid w:val="00CA2F9F"/>
    <w:rsid w:val="00CA3142"/>
    <w:rsid w:val="00CA34EE"/>
    <w:rsid w:val="00CA37EE"/>
    <w:rsid w:val="00CA4703"/>
    <w:rsid w:val="00CA4A2F"/>
    <w:rsid w:val="00CA57AE"/>
    <w:rsid w:val="00CA660C"/>
    <w:rsid w:val="00CA722B"/>
    <w:rsid w:val="00CA7A39"/>
    <w:rsid w:val="00CB0575"/>
    <w:rsid w:val="00CB091A"/>
    <w:rsid w:val="00CB0935"/>
    <w:rsid w:val="00CB1272"/>
    <w:rsid w:val="00CB14B3"/>
    <w:rsid w:val="00CB1A81"/>
    <w:rsid w:val="00CB28A9"/>
    <w:rsid w:val="00CB3C8A"/>
    <w:rsid w:val="00CB4469"/>
    <w:rsid w:val="00CB4625"/>
    <w:rsid w:val="00CB4C07"/>
    <w:rsid w:val="00CB5E93"/>
    <w:rsid w:val="00CB6808"/>
    <w:rsid w:val="00CB699F"/>
    <w:rsid w:val="00CB6E0F"/>
    <w:rsid w:val="00CB7DD6"/>
    <w:rsid w:val="00CC00E0"/>
    <w:rsid w:val="00CC0379"/>
    <w:rsid w:val="00CC0AB1"/>
    <w:rsid w:val="00CC0FAC"/>
    <w:rsid w:val="00CC2B2F"/>
    <w:rsid w:val="00CC355A"/>
    <w:rsid w:val="00CC3568"/>
    <w:rsid w:val="00CC3B00"/>
    <w:rsid w:val="00CC3BE0"/>
    <w:rsid w:val="00CC4183"/>
    <w:rsid w:val="00CC543F"/>
    <w:rsid w:val="00CC6938"/>
    <w:rsid w:val="00CC762F"/>
    <w:rsid w:val="00CD101F"/>
    <w:rsid w:val="00CD16E8"/>
    <w:rsid w:val="00CD17E8"/>
    <w:rsid w:val="00CD19B5"/>
    <w:rsid w:val="00CD1CB3"/>
    <w:rsid w:val="00CD209D"/>
    <w:rsid w:val="00CD2E28"/>
    <w:rsid w:val="00CD3689"/>
    <w:rsid w:val="00CD3B06"/>
    <w:rsid w:val="00CD5571"/>
    <w:rsid w:val="00CD5AE2"/>
    <w:rsid w:val="00CD610E"/>
    <w:rsid w:val="00CE1408"/>
    <w:rsid w:val="00CE164B"/>
    <w:rsid w:val="00CE199E"/>
    <w:rsid w:val="00CE2577"/>
    <w:rsid w:val="00CE2A72"/>
    <w:rsid w:val="00CE2DA3"/>
    <w:rsid w:val="00CE3D3E"/>
    <w:rsid w:val="00CE44EF"/>
    <w:rsid w:val="00CE59C0"/>
    <w:rsid w:val="00CE5AB4"/>
    <w:rsid w:val="00CE6545"/>
    <w:rsid w:val="00CE75D9"/>
    <w:rsid w:val="00CF07F4"/>
    <w:rsid w:val="00CF2127"/>
    <w:rsid w:val="00CF310C"/>
    <w:rsid w:val="00CF3634"/>
    <w:rsid w:val="00CF3729"/>
    <w:rsid w:val="00CF40D7"/>
    <w:rsid w:val="00CF5070"/>
    <w:rsid w:val="00CF5E9D"/>
    <w:rsid w:val="00CF6B8E"/>
    <w:rsid w:val="00CF6CAA"/>
    <w:rsid w:val="00CF70C5"/>
    <w:rsid w:val="00CF77AB"/>
    <w:rsid w:val="00CF7D8F"/>
    <w:rsid w:val="00D00312"/>
    <w:rsid w:val="00D00A1A"/>
    <w:rsid w:val="00D014D1"/>
    <w:rsid w:val="00D01B98"/>
    <w:rsid w:val="00D02AD2"/>
    <w:rsid w:val="00D03251"/>
    <w:rsid w:val="00D03EE5"/>
    <w:rsid w:val="00D03FAC"/>
    <w:rsid w:val="00D048A3"/>
    <w:rsid w:val="00D059A6"/>
    <w:rsid w:val="00D05D79"/>
    <w:rsid w:val="00D061F7"/>
    <w:rsid w:val="00D06237"/>
    <w:rsid w:val="00D06B18"/>
    <w:rsid w:val="00D06C45"/>
    <w:rsid w:val="00D07256"/>
    <w:rsid w:val="00D0752E"/>
    <w:rsid w:val="00D07CF9"/>
    <w:rsid w:val="00D102A3"/>
    <w:rsid w:val="00D104EA"/>
    <w:rsid w:val="00D10E79"/>
    <w:rsid w:val="00D117A2"/>
    <w:rsid w:val="00D11E26"/>
    <w:rsid w:val="00D11FC6"/>
    <w:rsid w:val="00D12686"/>
    <w:rsid w:val="00D129E4"/>
    <w:rsid w:val="00D12D10"/>
    <w:rsid w:val="00D13570"/>
    <w:rsid w:val="00D1395D"/>
    <w:rsid w:val="00D13D49"/>
    <w:rsid w:val="00D13D9D"/>
    <w:rsid w:val="00D146F5"/>
    <w:rsid w:val="00D15FDC"/>
    <w:rsid w:val="00D16108"/>
    <w:rsid w:val="00D16243"/>
    <w:rsid w:val="00D16B13"/>
    <w:rsid w:val="00D16DB7"/>
    <w:rsid w:val="00D2004F"/>
    <w:rsid w:val="00D20D37"/>
    <w:rsid w:val="00D20DB7"/>
    <w:rsid w:val="00D212CC"/>
    <w:rsid w:val="00D225A6"/>
    <w:rsid w:val="00D225CB"/>
    <w:rsid w:val="00D234F1"/>
    <w:rsid w:val="00D23997"/>
    <w:rsid w:val="00D24DE9"/>
    <w:rsid w:val="00D25A5B"/>
    <w:rsid w:val="00D2610D"/>
    <w:rsid w:val="00D26ACF"/>
    <w:rsid w:val="00D26BF4"/>
    <w:rsid w:val="00D26C35"/>
    <w:rsid w:val="00D26DD4"/>
    <w:rsid w:val="00D27617"/>
    <w:rsid w:val="00D276D2"/>
    <w:rsid w:val="00D27E8C"/>
    <w:rsid w:val="00D27F11"/>
    <w:rsid w:val="00D30B9E"/>
    <w:rsid w:val="00D30C10"/>
    <w:rsid w:val="00D30DEF"/>
    <w:rsid w:val="00D31DD7"/>
    <w:rsid w:val="00D3261B"/>
    <w:rsid w:val="00D33555"/>
    <w:rsid w:val="00D33678"/>
    <w:rsid w:val="00D348D5"/>
    <w:rsid w:val="00D34E8E"/>
    <w:rsid w:val="00D35C7B"/>
    <w:rsid w:val="00D3653A"/>
    <w:rsid w:val="00D37BAD"/>
    <w:rsid w:val="00D42224"/>
    <w:rsid w:val="00D4375F"/>
    <w:rsid w:val="00D43C73"/>
    <w:rsid w:val="00D43DC8"/>
    <w:rsid w:val="00D440BF"/>
    <w:rsid w:val="00D4476E"/>
    <w:rsid w:val="00D449E9"/>
    <w:rsid w:val="00D45D0E"/>
    <w:rsid w:val="00D463C9"/>
    <w:rsid w:val="00D46BA1"/>
    <w:rsid w:val="00D47D8D"/>
    <w:rsid w:val="00D507D4"/>
    <w:rsid w:val="00D50F08"/>
    <w:rsid w:val="00D51A51"/>
    <w:rsid w:val="00D5259C"/>
    <w:rsid w:val="00D526B2"/>
    <w:rsid w:val="00D529D1"/>
    <w:rsid w:val="00D52E0A"/>
    <w:rsid w:val="00D52ECE"/>
    <w:rsid w:val="00D5389D"/>
    <w:rsid w:val="00D55471"/>
    <w:rsid w:val="00D563A8"/>
    <w:rsid w:val="00D56C4B"/>
    <w:rsid w:val="00D56D58"/>
    <w:rsid w:val="00D56D92"/>
    <w:rsid w:val="00D570B2"/>
    <w:rsid w:val="00D57541"/>
    <w:rsid w:val="00D602BE"/>
    <w:rsid w:val="00D60903"/>
    <w:rsid w:val="00D60CDB"/>
    <w:rsid w:val="00D6145A"/>
    <w:rsid w:val="00D61938"/>
    <w:rsid w:val="00D620F8"/>
    <w:rsid w:val="00D628C2"/>
    <w:rsid w:val="00D62EC4"/>
    <w:rsid w:val="00D63ABB"/>
    <w:rsid w:val="00D63AC7"/>
    <w:rsid w:val="00D63B2A"/>
    <w:rsid w:val="00D63F87"/>
    <w:rsid w:val="00D64143"/>
    <w:rsid w:val="00D65369"/>
    <w:rsid w:val="00D6698D"/>
    <w:rsid w:val="00D66F3D"/>
    <w:rsid w:val="00D67C02"/>
    <w:rsid w:val="00D70035"/>
    <w:rsid w:val="00D707AA"/>
    <w:rsid w:val="00D7129D"/>
    <w:rsid w:val="00D7152F"/>
    <w:rsid w:val="00D716B9"/>
    <w:rsid w:val="00D72DF1"/>
    <w:rsid w:val="00D73B0C"/>
    <w:rsid w:val="00D73CA5"/>
    <w:rsid w:val="00D74101"/>
    <w:rsid w:val="00D741C3"/>
    <w:rsid w:val="00D745A9"/>
    <w:rsid w:val="00D7466B"/>
    <w:rsid w:val="00D7608F"/>
    <w:rsid w:val="00D76378"/>
    <w:rsid w:val="00D7660F"/>
    <w:rsid w:val="00D7692E"/>
    <w:rsid w:val="00D76983"/>
    <w:rsid w:val="00D76B72"/>
    <w:rsid w:val="00D77178"/>
    <w:rsid w:val="00D7763D"/>
    <w:rsid w:val="00D80268"/>
    <w:rsid w:val="00D80359"/>
    <w:rsid w:val="00D804D0"/>
    <w:rsid w:val="00D80970"/>
    <w:rsid w:val="00D819C3"/>
    <w:rsid w:val="00D821FB"/>
    <w:rsid w:val="00D825D8"/>
    <w:rsid w:val="00D827D1"/>
    <w:rsid w:val="00D828D6"/>
    <w:rsid w:val="00D83887"/>
    <w:rsid w:val="00D84B06"/>
    <w:rsid w:val="00D850DC"/>
    <w:rsid w:val="00D85CEF"/>
    <w:rsid w:val="00D86155"/>
    <w:rsid w:val="00D86EF4"/>
    <w:rsid w:val="00D91365"/>
    <w:rsid w:val="00D92F7B"/>
    <w:rsid w:val="00D93983"/>
    <w:rsid w:val="00D9435B"/>
    <w:rsid w:val="00D94FA1"/>
    <w:rsid w:val="00D950AB"/>
    <w:rsid w:val="00D955DF"/>
    <w:rsid w:val="00D96290"/>
    <w:rsid w:val="00D963AA"/>
    <w:rsid w:val="00D96B71"/>
    <w:rsid w:val="00D976BD"/>
    <w:rsid w:val="00D9776B"/>
    <w:rsid w:val="00DA003B"/>
    <w:rsid w:val="00DA144E"/>
    <w:rsid w:val="00DA1E61"/>
    <w:rsid w:val="00DA1F0C"/>
    <w:rsid w:val="00DA236E"/>
    <w:rsid w:val="00DA2382"/>
    <w:rsid w:val="00DA246B"/>
    <w:rsid w:val="00DA2826"/>
    <w:rsid w:val="00DA2A7C"/>
    <w:rsid w:val="00DA2BE0"/>
    <w:rsid w:val="00DA31A0"/>
    <w:rsid w:val="00DA4076"/>
    <w:rsid w:val="00DA4931"/>
    <w:rsid w:val="00DA5470"/>
    <w:rsid w:val="00DA58A0"/>
    <w:rsid w:val="00DA6056"/>
    <w:rsid w:val="00DA6292"/>
    <w:rsid w:val="00DA6304"/>
    <w:rsid w:val="00DA7399"/>
    <w:rsid w:val="00DA749F"/>
    <w:rsid w:val="00DA791C"/>
    <w:rsid w:val="00DA7AFE"/>
    <w:rsid w:val="00DA7BEB"/>
    <w:rsid w:val="00DB0BE2"/>
    <w:rsid w:val="00DB170D"/>
    <w:rsid w:val="00DB4AE3"/>
    <w:rsid w:val="00DB4B67"/>
    <w:rsid w:val="00DB4E9F"/>
    <w:rsid w:val="00DB6494"/>
    <w:rsid w:val="00DB790C"/>
    <w:rsid w:val="00DC0225"/>
    <w:rsid w:val="00DC0305"/>
    <w:rsid w:val="00DC099A"/>
    <w:rsid w:val="00DC0B0B"/>
    <w:rsid w:val="00DC14A4"/>
    <w:rsid w:val="00DC15D2"/>
    <w:rsid w:val="00DC1B85"/>
    <w:rsid w:val="00DC1BF1"/>
    <w:rsid w:val="00DC2F2E"/>
    <w:rsid w:val="00DC389C"/>
    <w:rsid w:val="00DC39EA"/>
    <w:rsid w:val="00DC40AB"/>
    <w:rsid w:val="00DC468E"/>
    <w:rsid w:val="00DC54B9"/>
    <w:rsid w:val="00DC5765"/>
    <w:rsid w:val="00DC57D2"/>
    <w:rsid w:val="00DD0081"/>
    <w:rsid w:val="00DD091E"/>
    <w:rsid w:val="00DD0D73"/>
    <w:rsid w:val="00DD4B86"/>
    <w:rsid w:val="00DD4C21"/>
    <w:rsid w:val="00DD5794"/>
    <w:rsid w:val="00DD6297"/>
    <w:rsid w:val="00DD6EF0"/>
    <w:rsid w:val="00DD75DC"/>
    <w:rsid w:val="00DE1BAA"/>
    <w:rsid w:val="00DE3D33"/>
    <w:rsid w:val="00DE4804"/>
    <w:rsid w:val="00DE4E43"/>
    <w:rsid w:val="00DE52F8"/>
    <w:rsid w:val="00DE553F"/>
    <w:rsid w:val="00DE5D69"/>
    <w:rsid w:val="00DE5F6E"/>
    <w:rsid w:val="00DE6CFC"/>
    <w:rsid w:val="00DE7305"/>
    <w:rsid w:val="00DE7688"/>
    <w:rsid w:val="00DF002E"/>
    <w:rsid w:val="00DF0E8C"/>
    <w:rsid w:val="00DF14DF"/>
    <w:rsid w:val="00DF1A33"/>
    <w:rsid w:val="00DF2425"/>
    <w:rsid w:val="00DF295D"/>
    <w:rsid w:val="00DF42B6"/>
    <w:rsid w:val="00DF431B"/>
    <w:rsid w:val="00DF45BA"/>
    <w:rsid w:val="00DF4F3A"/>
    <w:rsid w:val="00E01115"/>
    <w:rsid w:val="00E02DFB"/>
    <w:rsid w:val="00E03A1A"/>
    <w:rsid w:val="00E044C0"/>
    <w:rsid w:val="00E04C69"/>
    <w:rsid w:val="00E05806"/>
    <w:rsid w:val="00E05C53"/>
    <w:rsid w:val="00E05E76"/>
    <w:rsid w:val="00E06A78"/>
    <w:rsid w:val="00E10674"/>
    <w:rsid w:val="00E10A32"/>
    <w:rsid w:val="00E110F5"/>
    <w:rsid w:val="00E12346"/>
    <w:rsid w:val="00E127EE"/>
    <w:rsid w:val="00E130B5"/>
    <w:rsid w:val="00E13488"/>
    <w:rsid w:val="00E138C6"/>
    <w:rsid w:val="00E1431B"/>
    <w:rsid w:val="00E145AE"/>
    <w:rsid w:val="00E15081"/>
    <w:rsid w:val="00E1535A"/>
    <w:rsid w:val="00E15AB9"/>
    <w:rsid w:val="00E15B3B"/>
    <w:rsid w:val="00E163EE"/>
    <w:rsid w:val="00E16BA6"/>
    <w:rsid w:val="00E16FF5"/>
    <w:rsid w:val="00E17036"/>
    <w:rsid w:val="00E1790B"/>
    <w:rsid w:val="00E17E05"/>
    <w:rsid w:val="00E220BA"/>
    <w:rsid w:val="00E2394F"/>
    <w:rsid w:val="00E23BA1"/>
    <w:rsid w:val="00E2410A"/>
    <w:rsid w:val="00E24567"/>
    <w:rsid w:val="00E251EB"/>
    <w:rsid w:val="00E25244"/>
    <w:rsid w:val="00E25382"/>
    <w:rsid w:val="00E25EB2"/>
    <w:rsid w:val="00E262B8"/>
    <w:rsid w:val="00E26802"/>
    <w:rsid w:val="00E27078"/>
    <w:rsid w:val="00E301D2"/>
    <w:rsid w:val="00E30481"/>
    <w:rsid w:val="00E323BE"/>
    <w:rsid w:val="00E328A9"/>
    <w:rsid w:val="00E32CF5"/>
    <w:rsid w:val="00E34072"/>
    <w:rsid w:val="00E35CE0"/>
    <w:rsid w:val="00E3789E"/>
    <w:rsid w:val="00E378DD"/>
    <w:rsid w:val="00E37DF6"/>
    <w:rsid w:val="00E40A0D"/>
    <w:rsid w:val="00E416B9"/>
    <w:rsid w:val="00E41B05"/>
    <w:rsid w:val="00E425FD"/>
    <w:rsid w:val="00E427FF"/>
    <w:rsid w:val="00E4286E"/>
    <w:rsid w:val="00E42CF3"/>
    <w:rsid w:val="00E4375E"/>
    <w:rsid w:val="00E437A8"/>
    <w:rsid w:val="00E43AF9"/>
    <w:rsid w:val="00E44025"/>
    <w:rsid w:val="00E441E0"/>
    <w:rsid w:val="00E44212"/>
    <w:rsid w:val="00E4429F"/>
    <w:rsid w:val="00E44623"/>
    <w:rsid w:val="00E448F8"/>
    <w:rsid w:val="00E4534F"/>
    <w:rsid w:val="00E4599F"/>
    <w:rsid w:val="00E45B6E"/>
    <w:rsid w:val="00E461EF"/>
    <w:rsid w:val="00E46C57"/>
    <w:rsid w:val="00E4733B"/>
    <w:rsid w:val="00E507DC"/>
    <w:rsid w:val="00E50C11"/>
    <w:rsid w:val="00E51237"/>
    <w:rsid w:val="00E51322"/>
    <w:rsid w:val="00E519E9"/>
    <w:rsid w:val="00E51DBF"/>
    <w:rsid w:val="00E5231D"/>
    <w:rsid w:val="00E52368"/>
    <w:rsid w:val="00E52649"/>
    <w:rsid w:val="00E52A14"/>
    <w:rsid w:val="00E54039"/>
    <w:rsid w:val="00E54B1C"/>
    <w:rsid w:val="00E55064"/>
    <w:rsid w:val="00E55A70"/>
    <w:rsid w:val="00E55C24"/>
    <w:rsid w:val="00E55C89"/>
    <w:rsid w:val="00E55F9A"/>
    <w:rsid w:val="00E5689F"/>
    <w:rsid w:val="00E56E7D"/>
    <w:rsid w:val="00E57BFB"/>
    <w:rsid w:val="00E60CD1"/>
    <w:rsid w:val="00E61B61"/>
    <w:rsid w:val="00E62079"/>
    <w:rsid w:val="00E627AA"/>
    <w:rsid w:val="00E628B9"/>
    <w:rsid w:val="00E62C55"/>
    <w:rsid w:val="00E639B5"/>
    <w:rsid w:val="00E6435B"/>
    <w:rsid w:val="00E65837"/>
    <w:rsid w:val="00E6614A"/>
    <w:rsid w:val="00E6698C"/>
    <w:rsid w:val="00E66A9B"/>
    <w:rsid w:val="00E66EAE"/>
    <w:rsid w:val="00E678A7"/>
    <w:rsid w:val="00E7002C"/>
    <w:rsid w:val="00E7086A"/>
    <w:rsid w:val="00E71513"/>
    <w:rsid w:val="00E717FB"/>
    <w:rsid w:val="00E721B0"/>
    <w:rsid w:val="00E72207"/>
    <w:rsid w:val="00E72CAC"/>
    <w:rsid w:val="00E72D6D"/>
    <w:rsid w:val="00E7368F"/>
    <w:rsid w:val="00E7375A"/>
    <w:rsid w:val="00E740F3"/>
    <w:rsid w:val="00E746D4"/>
    <w:rsid w:val="00E747FC"/>
    <w:rsid w:val="00E74FD0"/>
    <w:rsid w:val="00E752FC"/>
    <w:rsid w:val="00E764CA"/>
    <w:rsid w:val="00E76CD7"/>
    <w:rsid w:val="00E77523"/>
    <w:rsid w:val="00E77B85"/>
    <w:rsid w:val="00E8004A"/>
    <w:rsid w:val="00E81BAA"/>
    <w:rsid w:val="00E8222D"/>
    <w:rsid w:val="00E82534"/>
    <w:rsid w:val="00E83689"/>
    <w:rsid w:val="00E84C01"/>
    <w:rsid w:val="00E85873"/>
    <w:rsid w:val="00E85FCC"/>
    <w:rsid w:val="00E860C2"/>
    <w:rsid w:val="00E862FD"/>
    <w:rsid w:val="00E86D9A"/>
    <w:rsid w:val="00E86FE2"/>
    <w:rsid w:val="00E8747D"/>
    <w:rsid w:val="00E8761D"/>
    <w:rsid w:val="00E926E8"/>
    <w:rsid w:val="00E93E9B"/>
    <w:rsid w:val="00E93EDC"/>
    <w:rsid w:val="00E94596"/>
    <w:rsid w:val="00E949C8"/>
    <w:rsid w:val="00E958A4"/>
    <w:rsid w:val="00E95BA8"/>
    <w:rsid w:val="00E963F5"/>
    <w:rsid w:val="00E9701D"/>
    <w:rsid w:val="00EA0097"/>
    <w:rsid w:val="00EA02FE"/>
    <w:rsid w:val="00EA2517"/>
    <w:rsid w:val="00EA2AEE"/>
    <w:rsid w:val="00EA2D3D"/>
    <w:rsid w:val="00EA32B0"/>
    <w:rsid w:val="00EA3372"/>
    <w:rsid w:val="00EA3A6D"/>
    <w:rsid w:val="00EA435C"/>
    <w:rsid w:val="00EA481D"/>
    <w:rsid w:val="00EA498C"/>
    <w:rsid w:val="00EA5265"/>
    <w:rsid w:val="00EA5D4A"/>
    <w:rsid w:val="00EA6057"/>
    <w:rsid w:val="00EA7298"/>
    <w:rsid w:val="00EB0DB4"/>
    <w:rsid w:val="00EB10CE"/>
    <w:rsid w:val="00EB2016"/>
    <w:rsid w:val="00EB20C8"/>
    <w:rsid w:val="00EB39A1"/>
    <w:rsid w:val="00EB3E1A"/>
    <w:rsid w:val="00EB5251"/>
    <w:rsid w:val="00EB61AD"/>
    <w:rsid w:val="00EB64C4"/>
    <w:rsid w:val="00EB76BE"/>
    <w:rsid w:val="00EB7C6E"/>
    <w:rsid w:val="00EC0AFE"/>
    <w:rsid w:val="00EC1F48"/>
    <w:rsid w:val="00EC2A05"/>
    <w:rsid w:val="00EC30B4"/>
    <w:rsid w:val="00EC3E3B"/>
    <w:rsid w:val="00EC418A"/>
    <w:rsid w:val="00EC5770"/>
    <w:rsid w:val="00EC5795"/>
    <w:rsid w:val="00EC7CB7"/>
    <w:rsid w:val="00ED03D6"/>
    <w:rsid w:val="00ED07DE"/>
    <w:rsid w:val="00ED0FD4"/>
    <w:rsid w:val="00ED1875"/>
    <w:rsid w:val="00ED1F46"/>
    <w:rsid w:val="00ED2258"/>
    <w:rsid w:val="00ED2474"/>
    <w:rsid w:val="00ED3CA3"/>
    <w:rsid w:val="00ED3F55"/>
    <w:rsid w:val="00ED512E"/>
    <w:rsid w:val="00ED5A56"/>
    <w:rsid w:val="00ED663C"/>
    <w:rsid w:val="00ED7023"/>
    <w:rsid w:val="00ED719E"/>
    <w:rsid w:val="00EE0CF9"/>
    <w:rsid w:val="00EE0DCD"/>
    <w:rsid w:val="00EE15BF"/>
    <w:rsid w:val="00EE17F1"/>
    <w:rsid w:val="00EE1F82"/>
    <w:rsid w:val="00EE2B59"/>
    <w:rsid w:val="00EE3267"/>
    <w:rsid w:val="00EE3902"/>
    <w:rsid w:val="00EE3E59"/>
    <w:rsid w:val="00EE432C"/>
    <w:rsid w:val="00EE4BE2"/>
    <w:rsid w:val="00EE4E31"/>
    <w:rsid w:val="00EE5320"/>
    <w:rsid w:val="00EE5C9B"/>
    <w:rsid w:val="00EE5EA1"/>
    <w:rsid w:val="00EE6C46"/>
    <w:rsid w:val="00EE7A02"/>
    <w:rsid w:val="00EE7F52"/>
    <w:rsid w:val="00EF0C32"/>
    <w:rsid w:val="00EF10D1"/>
    <w:rsid w:val="00EF1372"/>
    <w:rsid w:val="00EF1450"/>
    <w:rsid w:val="00EF149D"/>
    <w:rsid w:val="00EF46EE"/>
    <w:rsid w:val="00EF4CE6"/>
    <w:rsid w:val="00EF54B8"/>
    <w:rsid w:val="00EF7541"/>
    <w:rsid w:val="00EF7F1F"/>
    <w:rsid w:val="00F00534"/>
    <w:rsid w:val="00F00B0C"/>
    <w:rsid w:val="00F01C91"/>
    <w:rsid w:val="00F02162"/>
    <w:rsid w:val="00F02A6A"/>
    <w:rsid w:val="00F0306C"/>
    <w:rsid w:val="00F03540"/>
    <w:rsid w:val="00F037DA"/>
    <w:rsid w:val="00F04F6C"/>
    <w:rsid w:val="00F04F91"/>
    <w:rsid w:val="00F051A3"/>
    <w:rsid w:val="00F056C2"/>
    <w:rsid w:val="00F0683F"/>
    <w:rsid w:val="00F06A1F"/>
    <w:rsid w:val="00F06F13"/>
    <w:rsid w:val="00F072E9"/>
    <w:rsid w:val="00F07442"/>
    <w:rsid w:val="00F07DC4"/>
    <w:rsid w:val="00F07DE0"/>
    <w:rsid w:val="00F107F6"/>
    <w:rsid w:val="00F10D33"/>
    <w:rsid w:val="00F114EA"/>
    <w:rsid w:val="00F115C8"/>
    <w:rsid w:val="00F1224A"/>
    <w:rsid w:val="00F12360"/>
    <w:rsid w:val="00F1294E"/>
    <w:rsid w:val="00F13025"/>
    <w:rsid w:val="00F1342D"/>
    <w:rsid w:val="00F13C03"/>
    <w:rsid w:val="00F13E47"/>
    <w:rsid w:val="00F144CA"/>
    <w:rsid w:val="00F1477F"/>
    <w:rsid w:val="00F1520C"/>
    <w:rsid w:val="00F16E3D"/>
    <w:rsid w:val="00F171E4"/>
    <w:rsid w:val="00F17A9A"/>
    <w:rsid w:val="00F17B13"/>
    <w:rsid w:val="00F17B6E"/>
    <w:rsid w:val="00F17BC0"/>
    <w:rsid w:val="00F2060C"/>
    <w:rsid w:val="00F20880"/>
    <w:rsid w:val="00F20E7E"/>
    <w:rsid w:val="00F21867"/>
    <w:rsid w:val="00F22A86"/>
    <w:rsid w:val="00F22EBD"/>
    <w:rsid w:val="00F2305A"/>
    <w:rsid w:val="00F24114"/>
    <w:rsid w:val="00F25962"/>
    <w:rsid w:val="00F26802"/>
    <w:rsid w:val="00F26DD3"/>
    <w:rsid w:val="00F271AC"/>
    <w:rsid w:val="00F27AE1"/>
    <w:rsid w:val="00F27BB3"/>
    <w:rsid w:val="00F30530"/>
    <w:rsid w:val="00F3080A"/>
    <w:rsid w:val="00F32A4E"/>
    <w:rsid w:val="00F32B54"/>
    <w:rsid w:val="00F336AA"/>
    <w:rsid w:val="00F338AB"/>
    <w:rsid w:val="00F346DE"/>
    <w:rsid w:val="00F3594C"/>
    <w:rsid w:val="00F370CF"/>
    <w:rsid w:val="00F372E6"/>
    <w:rsid w:val="00F37F10"/>
    <w:rsid w:val="00F40145"/>
    <w:rsid w:val="00F426F4"/>
    <w:rsid w:val="00F429D5"/>
    <w:rsid w:val="00F440E4"/>
    <w:rsid w:val="00F44173"/>
    <w:rsid w:val="00F458DD"/>
    <w:rsid w:val="00F4656C"/>
    <w:rsid w:val="00F46D62"/>
    <w:rsid w:val="00F476F4"/>
    <w:rsid w:val="00F4774C"/>
    <w:rsid w:val="00F50318"/>
    <w:rsid w:val="00F50D7F"/>
    <w:rsid w:val="00F51371"/>
    <w:rsid w:val="00F5370C"/>
    <w:rsid w:val="00F541A6"/>
    <w:rsid w:val="00F54C72"/>
    <w:rsid w:val="00F555D8"/>
    <w:rsid w:val="00F558A3"/>
    <w:rsid w:val="00F56040"/>
    <w:rsid w:val="00F60386"/>
    <w:rsid w:val="00F60729"/>
    <w:rsid w:val="00F60917"/>
    <w:rsid w:val="00F60B6F"/>
    <w:rsid w:val="00F61196"/>
    <w:rsid w:val="00F61838"/>
    <w:rsid w:val="00F6277C"/>
    <w:rsid w:val="00F62826"/>
    <w:rsid w:val="00F62876"/>
    <w:rsid w:val="00F628C0"/>
    <w:rsid w:val="00F633AA"/>
    <w:rsid w:val="00F64C47"/>
    <w:rsid w:val="00F65118"/>
    <w:rsid w:val="00F653E4"/>
    <w:rsid w:val="00F669AE"/>
    <w:rsid w:val="00F66D54"/>
    <w:rsid w:val="00F67028"/>
    <w:rsid w:val="00F67087"/>
    <w:rsid w:val="00F67196"/>
    <w:rsid w:val="00F70ABC"/>
    <w:rsid w:val="00F71676"/>
    <w:rsid w:val="00F717C5"/>
    <w:rsid w:val="00F723B0"/>
    <w:rsid w:val="00F729C6"/>
    <w:rsid w:val="00F7329B"/>
    <w:rsid w:val="00F7368F"/>
    <w:rsid w:val="00F745F5"/>
    <w:rsid w:val="00F750AB"/>
    <w:rsid w:val="00F75289"/>
    <w:rsid w:val="00F76308"/>
    <w:rsid w:val="00F77143"/>
    <w:rsid w:val="00F774BA"/>
    <w:rsid w:val="00F7786A"/>
    <w:rsid w:val="00F80668"/>
    <w:rsid w:val="00F80C16"/>
    <w:rsid w:val="00F81EF5"/>
    <w:rsid w:val="00F82807"/>
    <w:rsid w:val="00F83109"/>
    <w:rsid w:val="00F833F2"/>
    <w:rsid w:val="00F83468"/>
    <w:rsid w:val="00F83CCF"/>
    <w:rsid w:val="00F85D14"/>
    <w:rsid w:val="00F86082"/>
    <w:rsid w:val="00F8627F"/>
    <w:rsid w:val="00F86854"/>
    <w:rsid w:val="00F8762D"/>
    <w:rsid w:val="00F9005D"/>
    <w:rsid w:val="00F915F0"/>
    <w:rsid w:val="00F91C86"/>
    <w:rsid w:val="00F920C0"/>
    <w:rsid w:val="00F93595"/>
    <w:rsid w:val="00F93B74"/>
    <w:rsid w:val="00F94FEC"/>
    <w:rsid w:val="00F95530"/>
    <w:rsid w:val="00F95709"/>
    <w:rsid w:val="00F969B5"/>
    <w:rsid w:val="00F96AC6"/>
    <w:rsid w:val="00F972DF"/>
    <w:rsid w:val="00F97465"/>
    <w:rsid w:val="00F97480"/>
    <w:rsid w:val="00F975CA"/>
    <w:rsid w:val="00F97C2F"/>
    <w:rsid w:val="00FA0D40"/>
    <w:rsid w:val="00FA1197"/>
    <w:rsid w:val="00FA1498"/>
    <w:rsid w:val="00FA3549"/>
    <w:rsid w:val="00FA367E"/>
    <w:rsid w:val="00FA4876"/>
    <w:rsid w:val="00FA5150"/>
    <w:rsid w:val="00FA5450"/>
    <w:rsid w:val="00FA5594"/>
    <w:rsid w:val="00FA7823"/>
    <w:rsid w:val="00FB0CC7"/>
    <w:rsid w:val="00FB0EF9"/>
    <w:rsid w:val="00FB1B3F"/>
    <w:rsid w:val="00FB2D59"/>
    <w:rsid w:val="00FB31D5"/>
    <w:rsid w:val="00FB462B"/>
    <w:rsid w:val="00FB4B7C"/>
    <w:rsid w:val="00FB6040"/>
    <w:rsid w:val="00FB6809"/>
    <w:rsid w:val="00FB69CB"/>
    <w:rsid w:val="00FB6B40"/>
    <w:rsid w:val="00FC02A0"/>
    <w:rsid w:val="00FC0935"/>
    <w:rsid w:val="00FC1643"/>
    <w:rsid w:val="00FC1F45"/>
    <w:rsid w:val="00FC2075"/>
    <w:rsid w:val="00FC2176"/>
    <w:rsid w:val="00FC34B3"/>
    <w:rsid w:val="00FC5722"/>
    <w:rsid w:val="00FC5E1D"/>
    <w:rsid w:val="00FC5E96"/>
    <w:rsid w:val="00FC6624"/>
    <w:rsid w:val="00FC6657"/>
    <w:rsid w:val="00FC7CFC"/>
    <w:rsid w:val="00FD050F"/>
    <w:rsid w:val="00FD1FBC"/>
    <w:rsid w:val="00FD2535"/>
    <w:rsid w:val="00FD28B0"/>
    <w:rsid w:val="00FD2D81"/>
    <w:rsid w:val="00FD4664"/>
    <w:rsid w:val="00FD4A88"/>
    <w:rsid w:val="00FD517E"/>
    <w:rsid w:val="00FD5F50"/>
    <w:rsid w:val="00FD67ED"/>
    <w:rsid w:val="00FD6DA6"/>
    <w:rsid w:val="00FD7E17"/>
    <w:rsid w:val="00FE0E8C"/>
    <w:rsid w:val="00FE1C5A"/>
    <w:rsid w:val="00FE214E"/>
    <w:rsid w:val="00FE26C6"/>
    <w:rsid w:val="00FE2A33"/>
    <w:rsid w:val="00FE2C4C"/>
    <w:rsid w:val="00FE32FF"/>
    <w:rsid w:val="00FE3FF9"/>
    <w:rsid w:val="00FE4818"/>
    <w:rsid w:val="00FE4BF2"/>
    <w:rsid w:val="00FE4C29"/>
    <w:rsid w:val="00FE4FE2"/>
    <w:rsid w:val="00FE526B"/>
    <w:rsid w:val="00FE57A6"/>
    <w:rsid w:val="00FE62DF"/>
    <w:rsid w:val="00FE6CB4"/>
    <w:rsid w:val="00FE7711"/>
    <w:rsid w:val="00FE7D90"/>
    <w:rsid w:val="00FF16E4"/>
    <w:rsid w:val="00FF1DE9"/>
    <w:rsid w:val="00FF2327"/>
    <w:rsid w:val="00FF24F1"/>
    <w:rsid w:val="00FF2A5B"/>
    <w:rsid w:val="00FF46D5"/>
    <w:rsid w:val="00FF4903"/>
    <w:rsid w:val="00FF4E09"/>
    <w:rsid w:val="00FF4E4B"/>
    <w:rsid w:val="00FF5358"/>
    <w:rsid w:val="00FF6AD7"/>
    <w:rsid w:val="00FF7EB0"/>
    <w:rsid w:val="010158D6"/>
    <w:rsid w:val="012B4701"/>
    <w:rsid w:val="016D6AC7"/>
    <w:rsid w:val="01852063"/>
    <w:rsid w:val="01A52705"/>
    <w:rsid w:val="01BB7833"/>
    <w:rsid w:val="01CD5CB1"/>
    <w:rsid w:val="01E14F87"/>
    <w:rsid w:val="01E46D89"/>
    <w:rsid w:val="0200793B"/>
    <w:rsid w:val="022C6982"/>
    <w:rsid w:val="02610F52"/>
    <w:rsid w:val="02623DB9"/>
    <w:rsid w:val="027345B1"/>
    <w:rsid w:val="02E80AFB"/>
    <w:rsid w:val="0317318F"/>
    <w:rsid w:val="0381786B"/>
    <w:rsid w:val="03941EAA"/>
    <w:rsid w:val="03AE5D51"/>
    <w:rsid w:val="03CA4BC5"/>
    <w:rsid w:val="03CC5D27"/>
    <w:rsid w:val="03D1158F"/>
    <w:rsid w:val="03FD515B"/>
    <w:rsid w:val="04025BED"/>
    <w:rsid w:val="04082AD7"/>
    <w:rsid w:val="04367644"/>
    <w:rsid w:val="04974587"/>
    <w:rsid w:val="05104339"/>
    <w:rsid w:val="05157BA2"/>
    <w:rsid w:val="058F1702"/>
    <w:rsid w:val="05995C65"/>
    <w:rsid w:val="05BE1FE7"/>
    <w:rsid w:val="05CD336C"/>
    <w:rsid w:val="05E07B33"/>
    <w:rsid w:val="05FE4192"/>
    <w:rsid w:val="060C68AF"/>
    <w:rsid w:val="06253E14"/>
    <w:rsid w:val="067E075B"/>
    <w:rsid w:val="069E5968"/>
    <w:rsid w:val="06AA444A"/>
    <w:rsid w:val="06BC6527"/>
    <w:rsid w:val="06DD024B"/>
    <w:rsid w:val="06DF76C9"/>
    <w:rsid w:val="06FC2DC7"/>
    <w:rsid w:val="070C0F12"/>
    <w:rsid w:val="07AA2823"/>
    <w:rsid w:val="07BD3A9C"/>
    <w:rsid w:val="07CD02C0"/>
    <w:rsid w:val="07D16002"/>
    <w:rsid w:val="07E96DFB"/>
    <w:rsid w:val="081465CD"/>
    <w:rsid w:val="082E31F3"/>
    <w:rsid w:val="084B5D47"/>
    <w:rsid w:val="087E6ADF"/>
    <w:rsid w:val="08B550AD"/>
    <w:rsid w:val="090146C5"/>
    <w:rsid w:val="092D32C1"/>
    <w:rsid w:val="093E6DE7"/>
    <w:rsid w:val="097E5D15"/>
    <w:rsid w:val="098E519B"/>
    <w:rsid w:val="0A011554"/>
    <w:rsid w:val="0A5269D6"/>
    <w:rsid w:val="0A652A31"/>
    <w:rsid w:val="0A7D76EB"/>
    <w:rsid w:val="0A8F5D00"/>
    <w:rsid w:val="0AC171A7"/>
    <w:rsid w:val="0AFA5870"/>
    <w:rsid w:val="0B012472"/>
    <w:rsid w:val="0B064214"/>
    <w:rsid w:val="0B1F0E32"/>
    <w:rsid w:val="0B3643CE"/>
    <w:rsid w:val="0B492353"/>
    <w:rsid w:val="0BB80A6B"/>
    <w:rsid w:val="0BD7795F"/>
    <w:rsid w:val="0BE669AA"/>
    <w:rsid w:val="0BEA149C"/>
    <w:rsid w:val="0C37664F"/>
    <w:rsid w:val="0C752545"/>
    <w:rsid w:val="0C931AD8"/>
    <w:rsid w:val="0C943AA2"/>
    <w:rsid w:val="0CB76775"/>
    <w:rsid w:val="0CC50E80"/>
    <w:rsid w:val="0CC954FA"/>
    <w:rsid w:val="0CEA5470"/>
    <w:rsid w:val="0D097FEC"/>
    <w:rsid w:val="0D0E115E"/>
    <w:rsid w:val="0D210093"/>
    <w:rsid w:val="0D3112F1"/>
    <w:rsid w:val="0D3B3F1D"/>
    <w:rsid w:val="0D3C216F"/>
    <w:rsid w:val="0D662D48"/>
    <w:rsid w:val="0D8633EB"/>
    <w:rsid w:val="0D904269"/>
    <w:rsid w:val="0DC65E47"/>
    <w:rsid w:val="0E63246E"/>
    <w:rsid w:val="0E796AAB"/>
    <w:rsid w:val="0ED14B39"/>
    <w:rsid w:val="0F022F45"/>
    <w:rsid w:val="0F0D77C3"/>
    <w:rsid w:val="0F2938DC"/>
    <w:rsid w:val="0F310E45"/>
    <w:rsid w:val="0F385F37"/>
    <w:rsid w:val="0F44355D"/>
    <w:rsid w:val="0F4632F8"/>
    <w:rsid w:val="0F5558E9"/>
    <w:rsid w:val="0FBA5458"/>
    <w:rsid w:val="0FC85F3C"/>
    <w:rsid w:val="101649EC"/>
    <w:rsid w:val="1017734C"/>
    <w:rsid w:val="102F36C7"/>
    <w:rsid w:val="104E5D16"/>
    <w:rsid w:val="1056229E"/>
    <w:rsid w:val="108D4A90"/>
    <w:rsid w:val="10A342B4"/>
    <w:rsid w:val="10A67900"/>
    <w:rsid w:val="10B53E92"/>
    <w:rsid w:val="10C3028B"/>
    <w:rsid w:val="11D02E86"/>
    <w:rsid w:val="11E32CE7"/>
    <w:rsid w:val="11F748B7"/>
    <w:rsid w:val="11FF19BD"/>
    <w:rsid w:val="120E6E37"/>
    <w:rsid w:val="12184EDA"/>
    <w:rsid w:val="1264592D"/>
    <w:rsid w:val="126A32DB"/>
    <w:rsid w:val="12C7072D"/>
    <w:rsid w:val="12E3308D"/>
    <w:rsid w:val="12E36BE9"/>
    <w:rsid w:val="12F75711"/>
    <w:rsid w:val="12FD414F"/>
    <w:rsid w:val="12FE7A83"/>
    <w:rsid w:val="13051255"/>
    <w:rsid w:val="13394A5B"/>
    <w:rsid w:val="133E6515"/>
    <w:rsid w:val="134F2888"/>
    <w:rsid w:val="13A16E84"/>
    <w:rsid w:val="144162BD"/>
    <w:rsid w:val="1461203E"/>
    <w:rsid w:val="14A979BF"/>
    <w:rsid w:val="14FC6832"/>
    <w:rsid w:val="15397494"/>
    <w:rsid w:val="157209AD"/>
    <w:rsid w:val="157D000D"/>
    <w:rsid w:val="15805CC9"/>
    <w:rsid w:val="158E72E0"/>
    <w:rsid w:val="15C54CCC"/>
    <w:rsid w:val="1640002A"/>
    <w:rsid w:val="16492D73"/>
    <w:rsid w:val="164B6F7F"/>
    <w:rsid w:val="16646293"/>
    <w:rsid w:val="168460D8"/>
    <w:rsid w:val="16BA4105"/>
    <w:rsid w:val="16D231FD"/>
    <w:rsid w:val="16D57191"/>
    <w:rsid w:val="170A0BE8"/>
    <w:rsid w:val="17375756"/>
    <w:rsid w:val="1771514A"/>
    <w:rsid w:val="17747262"/>
    <w:rsid w:val="17C57C22"/>
    <w:rsid w:val="17D6734C"/>
    <w:rsid w:val="17E70F2A"/>
    <w:rsid w:val="17F305EF"/>
    <w:rsid w:val="17FD699F"/>
    <w:rsid w:val="180715CC"/>
    <w:rsid w:val="1840688C"/>
    <w:rsid w:val="18A57DCA"/>
    <w:rsid w:val="18CB43A7"/>
    <w:rsid w:val="18D53478"/>
    <w:rsid w:val="18EB4A4A"/>
    <w:rsid w:val="19081137"/>
    <w:rsid w:val="1927785E"/>
    <w:rsid w:val="19524AC9"/>
    <w:rsid w:val="195B37A8"/>
    <w:rsid w:val="19706CFD"/>
    <w:rsid w:val="198C1D89"/>
    <w:rsid w:val="198E63E9"/>
    <w:rsid w:val="19940C3D"/>
    <w:rsid w:val="19A84F66"/>
    <w:rsid w:val="19BC44C6"/>
    <w:rsid w:val="19BE5CBA"/>
    <w:rsid w:val="19C808E7"/>
    <w:rsid w:val="1A881292"/>
    <w:rsid w:val="1A8E7D82"/>
    <w:rsid w:val="1AB90338"/>
    <w:rsid w:val="1AED4AA9"/>
    <w:rsid w:val="1B063DBD"/>
    <w:rsid w:val="1B527002"/>
    <w:rsid w:val="1B5D7D38"/>
    <w:rsid w:val="1B7707A6"/>
    <w:rsid w:val="1B9527DE"/>
    <w:rsid w:val="1BB03AE9"/>
    <w:rsid w:val="1C0A0AFB"/>
    <w:rsid w:val="1C393D1E"/>
    <w:rsid w:val="1C715266"/>
    <w:rsid w:val="1C7A6810"/>
    <w:rsid w:val="1CA53161"/>
    <w:rsid w:val="1D0C4F8F"/>
    <w:rsid w:val="1D4D30CB"/>
    <w:rsid w:val="1D7A4EA0"/>
    <w:rsid w:val="1D8B67FB"/>
    <w:rsid w:val="1E0A5972"/>
    <w:rsid w:val="1E1E141D"/>
    <w:rsid w:val="1E2C06AE"/>
    <w:rsid w:val="1E967206"/>
    <w:rsid w:val="1EE12B77"/>
    <w:rsid w:val="1F093E7B"/>
    <w:rsid w:val="1F0B237A"/>
    <w:rsid w:val="1F2962CC"/>
    <w:rsid w:val="1F464788"/>
    <w:rsid w:val="1F7B1478"/>
    <w:rsid w:val="1F7E6617"/>
    <w:rsid w:val="1FBF453A"/>
    <w:rsid w:val="1FFE1506"/>
    <w:rsid w:val="202C7E22"/>
    <w:rsid w:val="20390790"/>
    <w:rsid w:val="20887022"/>
    <w:rsid w:val="20A41B57"/>
    <w:rsid w:val="20F052F3"/>
    <w:rsid w:val="21194C46"/>
    <w:rsid w:val="21244D7F"/>
    <w:rsid w:val="21366A7E"/>
    <w:rsid w:val="21470C8B"/>
    <w:rsid w:val="21A91C9B"/>
    <w:rsid w:val="21CE6CB6"/>
    <w:rsid w:val="22387D8C"/>
    <w:rsid w:val="226971BB"/>
    <w:rsid w:val="22813210"/>
    <w:rsid w:val="235A7935"/>
    <w:rsid w:val="236773C3"/>
    <w:rsid w:val="236830D0"/>
    <w:rsid w:val="237D0994"/>
    <w:rsid w:val="23B430A3"/>
    <w:rsid w:val="24523BCF"/>
    <w:rsid w:val="24977834"/>
    <w:rsid w:val="24997A50"/>
    <w:rsid w:val="249C309C"/>
    <w:rsid w:val="24DE1906"/>
    <w:rsid w:val="24E0742D"/>
    <w:rsid w:val="250165C0"/>
    <w:rsid w:val="25216E9D"/>
    <w:rsid w:val="252B3B89"/>
    <w:rsid w:val="25387269"/>
    <w:rsid w:val="25416D14"/>
    <w:rsid w:val="259F4BF2"/>
    <w:rsid w:val="25C74149"/>
    <w:rsid w:val="25D75396"/>
    <w:rsid w:val="25E22D30"/>
    <w:rsid w:val="25EA5D3C"/>
    <w:rsid w:val="25FC1CC0"/>
    <w:rsid w:val="26655E3B"/>
    <w:rsid w:val="26722306"/>
    <w:rsid w:val="26AC3A6A"/>
    <w:rsid w:val="26CB1A16"/>
    <w:rsid w:val="26D81F25"/>
    <w:rsid w:val="271B299E"/>
    <w:rsid w:val="271F2892"/>
    <w:rsid w:val="2726229F"/>
    <w:rsid w:val="275F7751"/>
    <w:rsid w:val="2770501A"/>
    <w:rsid w:val="27871DE1"/>
    <w:rsid w:val="27B01338"/>
    <w:rsid w:val="27B32251"/>
    <w:rsid w:val="28463A4A"/>
    <w:rsid w:val="28542F37"/>
    <w:rsid w:val="2864476D"/>
    <w:rsid w:val="288E0F4E"/>
    <w:rsid w:val="28933584"/>
    <w:rsid w:val="28A36CB5"/>
    <w:rsid w:val="28E84B02"/>
    <w:rsid w:val="28FB4835"/>
    <w:rsid w:val="295B3526"/>
    <w:rsid w:val="298F4F7D"/>
    <w:rsid w:val="299C17D7"/>
    <w:rsid w:val="29A529F3"/>
    <w:rsid w:val="29DD03DE"/>
    <w:rsid w:val="29E7300B"/>
    <w:rsid w:val="2A0140CD"/>
    <w:rsid w:val="2A0C2A72"/>
    <w:rsid w:val="2A190A0E"/>
    <w:rsid w:val="2A1C4A45"/>
    <w:rsid w:val="2A353B5D"/>
    <w:rsid w:val="2A36189D"/>
    <w:rsid w:val="2AE952F3"/>
    <w:rsid w:val="2B2F6A18"/>
    <w:rsid w:val="2B4963A6"/>
    <w:rsid w:val="2B5D17D7"/>
    <w:rsid w:val="2B8E7BE2"/>
    <w:rsid w:val="2B984DBC"/>
    <w:rsid w:val="2B996587"/>
    <w:rsid w:val="2BA24425"/>
    <w:rsid w:val="2BBA3734"/>
    <w:rsid w:val="2BC52ED8"/>
    <w:rsid w:val="2BDD46C6"/>
    <w:rsid w:val="2C2E4F21"/>
    <w:rsid w:val="2CA174A1"/>
    <w:rsid w:val="2CA246E6"/>
    <w:rsid w:val="2D5873B4"/>
    <w:rsid w:val="2DB651CE"/>
    <w:rsid w:val="2DCB35D5"/>
    <w:rsid w:val="2E1053BC"/>
    <w:rsid w:val="2E141EF5"/>
    <w:rsid w:val="2E8D23D3"/>
    <w:rsid w:val="2EA43279"/>
    <w:rsid w:val="2EB63263"/>
    <w:rsid w:val="2ECB6A58"/>
    <w:rsid w:val="2F464330"/>
    <w:rsid w:val="2F5073C2"/>
    <w:rsid w:val="2F511CE2"/>
    <w:rsid w:val="2F920F5B"/>
    <w:rsid w:val="2F9B0B20"/>
    <w:rsid w:val="2FE8682E"/>
    <w:rsid w:val="302E54F0"/>
    <w:rsid w:val="30330D58"/>
    <w:rsid w:val="30BF083E"/>
    <w:rsid w:val="30D8545C"/>
    <w:rsid w:val="30DA7426"/>
    <w:rsid w:val="30EB52B7"/>
    <w:rsid w:val="3128531E"/>
    <w:rsid w:val="313079B7"/>
    <w:rsid w:val="317A17D6"/>
    <w:rsid w:val="31BF543B"/>
    <w:rsid w:val="31D2654B"/>
    <w:rsid w:val="31DD71CE"/>
    <w:rsid w:val="321271B3"/>
    <w:rsid w:val="32171FB4"/>
    <w:rsid w:val="324A4137"/>
    <w:rsid w:val="3255145A"/>
    <w:rsid w:val="32711707"/>
    <w:rsid w:val="333F5C66"/>
    <w:rsid w:val="33664D1A"/>
    <w:rsid w:val="33AD0E22"/>
    <w:rsid w:val="33D25230"/>
    <w:rsid w:val="33DB773D"/>
    <w:rsid w:val="33E11727"/>
    <w:rsid w:val="34362BC5"/>
    <w:rsid w:val="34384B8F"/>
    <w:rsid w:val="34DF500B"/>
    <w:rsid w:val="353478FA"/>
    <w:rsid w:val="35787646"/>
    <w:rsid w:val="357E4D6A"/>
    <w:rsid w:val="359C2EFC"/>
    <w:rsid w:val="35F66AB0"/>
    <w:rsid w:val="35FC6A17"/>
    <w:rsid w:val="360867E3"/>
    <w:rsid w:val="36121410"/>
    <w:rsid w:val="36154A5C"/>
    <w:rsid w:val="36243D90"/>
    <w:rsid w:val="362D1DA6"/>
    <w:rsid w:val="362D7FF8"/>
    <w:rsid w:val="36432D79"/>
    <w:rsid w:val="36985DB9"/>
    <w:rsid w:val="36B424C7"/>
    <w:rsid w:val="36C46BAE"/>
    <w:rsid w:val="36FA1D41"/>
    <w:rsid w:val="370276D6"/>
    <w:rsid w:val="372617C9"/>
    <w:rsid w:val="374101FF"/>
    <w:rsid w:val="374D3D49"/>
    <w:rsid w:val="375A12C0"/>
    <w:rsid w:val="378309A0"/>
    <w:rsid w:val="37F963E3"/>
    <w:rsid w:val="38547ABE"/>
    <w:rsid w:val="385C7F4F"/>
    <w:rsid w:val="38A9519D"/>
    <w:rsid w:val="38AC48DE"/>
    <w:rsid w:val="38C52157"/>
    <w:rsid w:val="38DF5E2F"/>
    <w:rsid w:val="38EF5A38"/>
    <w:rsid w:val="391D25A6"/>
    <w:rsid w:val="39495149"/>
    <w:rsid w:val="3A192D6D"/>
    <w:rsid w:val="3A255BB6"/>
    <w:rsid w:val="3A3E3592"/>
    <w:rsid w:val="3A555D6F"/>
    <w:rsid w:val="3ABA3B8B"/>
    <w:rsid w:val="3AC007AA"/>
    <w:rsid w:val="3AE332BF"/>
    <w:rsid w:val="3B0357CB"/>
    <w:rsid w:val="3B057795"/>
    <w:rsid w:val="3B0C034B"/>
    <w:rsid w:val="3B223EA3"/>
    <w:rsid w:val="3B5953EB"/>
    <w:rsid w:val="3B8C3A12"/>
    <w:rsid w:val="3B906BF5"/>
    <w:rsid w:val="3B9C3C56"/>
    <w:rsid w:val="3BC35686"/>
    <w:rsid w:val="3BFA4E20"/>
    <w:rsid w:val="3C3563DC"/>
    <w:rsid w:val="3C3C71E7"/>
    <w:rsid w:val="3CB65D3B"/>
    <w:rsid w:val="3CB925E5"/>
    <w:rsid w:val="3CEC2496"/>
    <w:rsid w:val="3CF7310E"/>
    <w:rsid w:val="3D115F7D"/>
    <w:rsid w:val="3D37175C"/>
    <w:rsid w:val="3D50629E"/>
    <w:rsid w:val="3DAF0C1F"/>
    <w:rsid w:val="3DC1449C"/>
    <w:rsid w:val="3DCC459A"/>
    <w:rsid w:val="3E057FAE"/>
    <w:rsid w:val="3E1050C1"/>
    <w:rsid w:val="3E6560E4"/>
    <w:rsid w:val="3EB94B1E"/>
    <w:rsid w:val="3ED43706"/>
    <w:rsid w:val="3EF9316D"/>
    <w:rsid w:val="3F1A2667"/>
    <w:rsid w:val="3F7B2D15"/>
    <w:rsid w:val="3F9707F3"/>
    <w:rsid w:val="3FE536F1"/>
    <w:rsid w:val="40632F94"/>
    <w:rsid w:val="408B6047"/>
    <w:rsid w:val="4099578D"/>
    <w:rsid w:val="40D75730"/>
    <w:rsid w:val="40F47828"/>
    <w:rsid w:val="414D154E"/>
    <w:rsid w:val="417116E0"/>
    <w:rsid w:val="41DA218D"/>
    <w:rsid w:val="42010CB6"/>
    <w:rsid w:val="422A2529"/>
    <w:rsid w:val="427C658F"/>
    <w:rsid w:val="4282061C"/>
    <w:rsid w:val="42870A90"/>
    <w:rsid w:val="42A15FF5"/>
    <w:rsid w:val="42A41642"/>
    <w:rsid w:val="42F6426B"/>
    <w:rsid w:val="43050073"/>
    <w:rsid w:val="43287BAC"/>
    <w:rsid w:val="434729F6"/>
    <w:rsid w:val="434C41B3"/>
    <w:rsid w:val="43697B1B"/>
    <w:rsid w:val="43784FA8"/>
    <w:rsid w:val="439E6707"/>
    <w:rsid w:val="43E066A9"/>
    <w:rsid w:val="4492209A"/>
    <w:rsid w:val="44A75419"/>
    <w:rsid w:val="44A8440D"/>
    <w:rsid w:val="44B00772"/>
    <w:rsid w:val="453A003B"/>
    <w:rsid w:val="454A4722"/>
    <w:rsid w:val="455C26A8"/>
    <w:rsid w:val="45835E86"/>
    <w:rsid w:val="45C75D73"/>
    <w:rsid w:val="45EC3A2B"/>
    <w:rsid w:val="46130FB8"/>
    <w:rsid w:val="46164604"/>
    <w:rsid w:val="46357180"/>
    <w:rsid w:val="46362EF9"/>
    <w:rsid w:val="46592743"/>
    <w:rsid w:val="466435C2"/>
    <w:rsid w:val="46C95B1B"/>
    <w:rsid w:val="46D30747"/>
    <w:rsid w:val="46D83FB0"/>
    <w:rsid w:val="46E26B63"/>
    <w:rsid w:val="472B2331"/>
    <w:rsid w:val="481B2D4D"/>
    <w:rsid w:val="482E33A4"/>
    <w:rsid w:val="483874CD"/>
    <w:rsid w:val="484216E1"/>
    <w:rsid w:val="48427933"/>
    <w:rsid w:val="48641270"/>
    <w:rsid w:val="48BD520B"/>
    <w:rsid w:val="48CA7928"/>
    <w:rsid w:val="48CC68FF"/>
    <w:rsid w:val="49156DF5"/>
    <w:rsid w:val="49172B6D"/>
    <w:rsid w:val="4924150C"/>
    <w:rsid w:val="4924528A"/>
    <w:rsid w:val="49441489"/>
    <w:rsid w:val="49451A76"/>
    <w:rsid w:val="495B4639"/>
    <w:rsid w:val="495F7421"/>
    <w:rsid w:val="499F48B0"/>
    <w:rsid w:val="49B83C8E"/>
    <w:rsid w:val="49CA5E32"/>
    <w:rsid w:val="4A0E2E49"/>
    <w:rsid w:val="4A114716"/>
    <w:rsid w:val="4A2F2139"/>
    <w:rsid w:val="4A336491"/>
    <w:rsid w:val="4A3855BE"/>
    <w:rsid w:val="4A606BFA"/>
    <w:rsid w:val="4A677B24"/>
    <w:rsid w:val="4A6F0787"/>
    <w:rsid w:val="4A851D59"/>
    <w:rsid w:val="4A8A55C1"/>
    <w:rsid w:val="4AA448D5"/>
    <w:rsid w:val="4B223A4B"/>
    <w:rsid w:val="4B2477C4"/>
    <w:rsid w:val="4B4B7D4F"/>
    <w:rsid w:val="4B560527"/>
    <w:rsid w:val="4B613A0A"/>
    <w:rsid w:val="4B7F2773"/>
    <w:rsid w:val="4B985ABC"/>
    <w:rsid w:val="4BE3142D"/>
    <w:rsid w:val="4BEB7BAC"/>
    <w:rsid w:val="4BF278C2"/>
    <w:rsid w:val="4BF929FE"/>
    <w:rsid w:val="4C15535E"/>
    <w:rsid w:val="4C2F01CE"/>
    <w:rsid w:val="4C342114"/>
    <w:rsid w:val="4C3752D5"/>
    <w:rsid w:val="4C7B78B7"/>
    <w:rsid w:val="4C7C628E"/>
    <w:rsid w:val="4C8A5580"/>
    <w:rsid w:val="4C9A375E"/>
    <w:rsid w:val="4CFD33EE"/>
    <w:rsid w:val="4D1D1C36"/>
    <w:rsid w:val="4D5D520F"/>
    <w:rsid w:val="4D986543"/>
    <w:rsid w:val="4DBA61BD"/>
    <w:rsid w:val="4DC40DEA"/>
    <w:rsid w:val="4DF80A94"/>
    <w:rsid w:val="4E0833CC"/>
    <w:rsid w:val="4E4259BE"/>
    <w:rsid w:val="4E5111F0"/>
    <w:rsid w:val="4E516B22"/>
    <w:rsid w:val="4F4A3571"/>
    <w:rsid w:val="4F88007D"/>
    <w:rsid w:val="4F9A091F"/>
    <w:rsid w:val="4FE47521"/>
    <w:rsid w:val="4FF65D82"/>
    <w:rsid w:val="4FF77255"/>
    <w:rsid w:val="502D711A"/>
    <w:rsid w:val="504601DC"/>
    <w:rsid w:val="507F724A"/>
    <w:rsid w:val="509C7528"/>
    <w:rsid w:val="50A0169A"/>
    <w:rsid w:val="50B12E19"/>
    <w:rsid w:val="50BA7768"/>
    <w:rsid w:val="50CC248F"/>
    <w:rsid w:val="51002139"/>
    <w:rsid w:val="512C73D2"/>
    <w:rsid w:val="51711289"/>
    <w:rsid w:val="51917235"/>
    <w:rsid w:val="51B55619"/>
    <w:rsid w:val="51C70EA9"/>
    <w:rsid w:val="520C2D5F"/>
    <w:rsid w:val="5221680B"/>
    <w:rsid w:val="52CF270B"/>
    <w:rsid w:val="52E361B6"/>
    <w:rsid w:val="52F715A0"/>
    <w:rsid w:val="531243A6"/>
    <w:rsid w:val="53204D14"/>
    <w:rsid w:val="53360094"/>
    <w:rsid w:val="5396174A"/>
    <w:rsid w:val="53990623"/>
    <w:rsid w:val="53EB5322"/>
    <w:rsid w:val="5408144B"/>
    <w:rsid w:val="54150E7E"/>
    <w:rsid w:val="546A01E4"/>
    <w:rsid w:val="5482443D"/>
    <w:rsid w:val="54BF230B"/>
    <w:rsid w:val="54FA3343"/>
    <w:rsid w:val="551C0E7A"/>
    <w:rsid w:val="55287EB0"/>
    <w:rsid w:val="55366A71"/>
    <w:rsid w:val="554674D5"/>
    <w:rsid w:val="556C7A16"/>
    <w:rsid w:val="55794BB0"/>
    <w:rsid w:val="562A3930"/>
    <w:rsid w:val="565F3DA6"/>
    <w:rsid w:val="568807DB"/>
    <w:rsid w:val="5693235B"/>
    <w:rsid w:val="56932A24"/>
    <w:rsid w:val="56AD68BF"/>
    <w:rsid w:val="56B539C6"/>
    <w:rsid w:val="570603D3"/>
    <w:rsid w:val="5740094B"/>
    <w:rsid w:val="57460AC2"/>
    <w:rsid w:val="57903AA7"/>
    <w:rsid w:val="579954F5"/>
    <w:rsid w:val="57A203EE"/>
    <w:rsid w:val="57AD2C27"/>
    <w:rsid w:val="57C41D41"/>
    <w:rsid w:val="57D61E46"/>
    <w:rsid w:val="58020E8D"/>
    <w:rsid w:val="58946D58"/>
    <w:rsid w:val="589C308F"/>
    <w:rsid w:val="58E40592"/>
    <w:rsid w:val="58FB2DBE"/>
    <w:rsid w:val="59012EF2"/>
    <w:rsid w:val="59255380"/>
    <w:rsid w:val="593D5A74"/>
    <w:rsid w:val="59592D2E"/>
    <w:rsid w:val="59FF38D6"/>
    <w:rsid w:val="5A3665E1"/>
    <w:rsid w:val="5A3B5997"/>
    <w:rsid w:val="5A556BE8"/>
    <w:rsid w:val="5A6E7B3B"/>
    <w:rsid w:val="5A8B6F17"/>
    <w:rsid w:val="5A9A7A80"/>
    <w:rsid w:val="5AD10E92"/>
    <w:rsid w:val="5B3E21DC"/>
    <w:rsid w:val="5B644A23"/>
    <w:rsid w:val="5B8D00E6"/>
    <w:rsid w:val="5B9B13DC"/>
    <w:rsid w:val="5BA1276A"/>
    <w:rsid w:val="5BCB0D3D"/>
    <w:rsid w:val="5BFD4FF9"/>
    <w:rsid w:val="5C25339C"/>
    <w:rsid w:val="5C627D9A"/>
    <w:rsid w:val="5C86208C"/>
    <w:rsid w:val="5C8E0F41"/>
    <w:rsid w:val="5C9B365E"/>
    <w:rsid w:val="5C9E454D"/>
    <w:rsid w:val="5CBD35D4"/>
    <w:rsid w:val="5CC74453"/>
    <w:rsid w:val="5D0E2082"/>
    <w:rsid w:val="5D284EF1"/>
    <w:rsid w:val="5D3715D8"/>
    <w:rsid w:val="5DDC11E9"/>
    <w:rsid w:val="5E075446"/>
    <w:rsid w:val="5E49569F"/>
    <w:rsid w:val="5E4C6141"/>
    <w:rsid w:val="5E93283E"/>
    <w:rsid w:val="5EE017FC"/>
    <w:rsid w:val="5F103E8F"/>
    <w:rsid w:val="5F441D8B"/>
    <w:rsid w:val="5F5A335C"/>
    <w:rsid w:val="5F614678"/>
    <w:rsid w:val="5F661D01"/>
    <w:rsid w:val="5F6661A5"/>
    <w:rsid w:val="5F6C789E"/>
    <w:rsid w:val="5F73441E"/>
    <w:rsid w:val="5F8D54E0"/>
    <w:rsid w:val="5FA32F55"/>
    <w:rsid w:val="5FA86941"/>
    <w:rsid w:val="5FC37153"/>
    <w:rsid w:val="5FE3497A"/>
    <w:rsid w:val="603911C4"/>
    <w:rsid w:val="60502BD3"/>
    <w:rsid w:val="60567FC7"/>
    <w:rsid w:val="606C1599"/>
    <w:rsid w:val="607246D5"/>
    <w:rsid w:val="608D04E1"/>
    <w:rsid w:val="60A13264"/>
    <w:rsid w:val="60BB42CE"/>
    <w:rsid w:val="60DC40F9"/>
    <w:rsid w:val="61113EEE"/>
    <w:rsid w:val="61137C66"/>
    <w:rsid w:val="61556E67"/>
    <w:rsid w:val="6198793F"/>
    <w:rsid w:val="61A84853"/>
    <w:rsid w:val="61ED3C40"/>
    <w:rsid w:val="621A5025"/>
    <w:rsid w:val="622D2FAA"/>
    <w:rsid w:val="623F6839"/>
    <w:rsid w:val="62562501"/>
    <w:rsid w:val="62603106"/>
    <w:rsid w:val="62F92E8C"/>
    <w:rsid w:val="630E6937"/>
    <w:rsid w:val="63125233"/>
    <w:rsid w:val="632054DF"/>
    <w:rsid w:val="63996E0C"/>
    <w:rsid w:val="639A6746"/>
    <w:rsid w:val="64177A6E"/>
    <w:rsid w:val="642167B4"/>
    <w:rsid w:val="64520AA6"/>
    <w:rsid w:val="645C761C"/>
    <w:rsid w:val="646D1D84"/>
    <w:rsid w:val="646F067F"/>
    <w:rsid w:val="64743DFB"/>
    <w:rsid w:val="647D6C20"/>
    <w:rsid w:val="649317EA"/>
    <w:rsid w:val="64AC28AC"/>
    <w:rsid w:val="64E02FC0"/>
    <w:rsid w:val="65270184"/>
    <w:rsid w:val="653528A1"/>
    <w:rsid w:val="657333CA"/>
    <w:rsid w:val="65C716B7"/>
    <w:rsid w:val="660202AA"/>
    <w:rsid w:val="662446C4"/>
    <w:rsid w:val="66291CDA"/>
    <w:rsid w:val="66342B59"/>
    <w:rsid w:val="665054B9"/>
    <w:rsid w:val="665A1E94"/>
    <w:rsid w:val="66AD24F1"/>
    <w:rsid w:val="66C642AD"/>
    <w:rsid w:val="66D659BE"/>
    <w:rsid w:val="66D9725C"/>
    <w:rsid w:val="66E0683D"/>
    <w:rsid w:val="66E8749F"/>
    <w:rsid w:val="66F349C6"/>
    <w:rsid w:val="67053D91"/>
    <w:rsid w:val="672E75A8"/>
    <w:rsid w:val="676254A4"/>
    <w:rsid w:val="6779459B"/>
    <w:rsid w:val="679D64DC"/>
    <w:rsid w:val="67D14378"/>
    <w:rsid w:val="67DE14F6"/>
    <w:rsid w:val="67E265E5"/>
    <w:rsid w:val="682F2AD6"/>
    <w:rsid w:val="685017A0"/>
    <w:rsid w:val="688977E4"/>
    <w:rsid w:val="6922589E"/>
    <w:rsid w:val="698257CF"/>
    <w:rsid w:val="69B37EAB"/>
    <w:rsid w:val="69D33693"/>
    <w:rsid w:val="69FF1C9A"/>
    <w:rsid w:val="69FF522C"/>
    <w:rsid w:val="6A0E36C1"/>
    <w:rsid w:val="6A1B3863"/>
    <w:rsid w:val="6A2E40F1"/>
    <w:rsid w:val="6A7D43A3"/>
    <w:rsid w:val="6A9F1CE8"/>
    <w:rsid w:val="6AB37DC4"/>
    <w:rsid w:val="6AC60CE0"/>
    <w:rsid w:val="6AEF52A0"/>
    <w:rsid w:val="6B20545A"/>
    <w:rsid w:val="6B4C26F3"/>
    <w:rsid w:val="6B574BF4"/>
    <w:rsid w:val="6BA20565"/>
    <w:rsid w:val="6BA31AB7"/>
    <w:rsid w:val="6BA442DD"/>
    <w:rsid w:val="6BBB06E7"/>
    <w:rsid w:val="6BD36970"/>
    <w:rsid w:val="6BDC5592"/>
    <w:rsid w:val="6BE566A3"/>
    <w:rsid w:val="6C276CBC"/>
    <w:rsid w:val="6C6770B8"/>
    <w:rsid w:val="6C6C46CF"/>
    <w:rsid w:val="6C877FB2"/>
    <w:rsid w:val="6C9578FD"/>
    <w:rsid w:val="6CAF25AC"/>
    <w:rsid w:val="6CE40709"/>
    <w:rsid w:val="6D306DD7"/>
    <w:rsid w:val="6D392803"/>
    <w:rsid w:val="6D464F20"/>
    <w:rsid w:val="6D5E670D"/>
    <w:rsid w:val="6E4B5505"/>
    <w:rsid w:val="6E553363"/>
    <w:rsid w:val="6E6660A5"/>
    <w:rsid w:val="6ED749C9"/>
    <w:rsid w:val="6EDE5A87"/>
    <w:rsid w:val="6F12155D"/>
    <w:rsid w:val="6F1F3C7A"/>
    <w:rsid w:val="6F3B4F58"/>
    <w:rsid w:val="6F4E40D0"/>
    <w:rsid w:val="6F5275C7"/>
    <w:rsid w:val="6F767D3E"/>
    <w:rsid w:val="6F7C183E"/>
    <w:rsid w:val="6FB97C2B"/>
    <w:rsid w:val="708F173B"/>
    <w:rsid w:val="709E387E"/>
    <w:rsid w:val="70E138DD"/>
    <w:rsid w:val="70FF5B11"/>
    <w:rsid w:val="716772A9"/>
    <w:rsid w:val="71E74F23"/>
    <w:rsid w:val="71FE1F10"/>
    <w:rsid w:val="72BF7C4E"/>
    <w:rsid w:val="72C46EFE"/>
    <w:rsid w:val="72E871A5"/>
    <w:rsid w:val="735A1725"/>
    <w:rsid w:val="735C549D"/>
    <w:rsid w:val="735F4F8D"/>
    <w:rsid w:val="73C66DBA"/>
    <w:rsid w:val="73CD4ED7"/>
    <w:rsid w:val="73E56361"/>
    <w:rsid w:val="73F90F3E"/>
    <w:rsid w:val="741E2752"/>
    <w:rsid w:val="748051BB"/>
    <w:rsid w:val="749D3FBF"/>
    <w:rsid w:val="74D06143"/>
    <w:rsid w:val="74EF65B0"/>
    <w:rsid w:val="75030577"/>
    <w:rsid w:val="750C2E98"/>
    <w:rsid w:val="75232716"/>
    <w:rsid w:val="752B4646"/>
    <w:rsid w:val="75436915"/>
    <w:rsid w:val="75630D65"/>
    <w:rsid w:val="756E0D07"/>
    <w:rsid w:val="759058D2"/>
    <w:rsid w:val="75F53987"/>
    <w:rsid w:val="76522B87"/>
    <w:rsid w:val="765E777E"/>
    <w:rsid w:val="76C07AF1"/>
    <w:rsid w:val="76FB321F"/>
    <w:rsid w:val="772616E6"/>
    <w:rsid w:val="772D1C1A"/>
    <w:rsid w:val="773B1404"/>
    <w:rsid w:val="776C7D28"/>
    <w:rsid w:val="77862AE9"/>
    <w:rsid w:val="778A3588"/>
    <w:rsid w:val="778E26FF"/>
    <w:rsid w:val="779A3F08"/>
    <w:rsid w:val="77B77146"/>
    <w:rsid w:val="77B96653"/>
    <w:rsid w:val="77EF4B32"/>
    <w:rsid w:val="78452CC9"/>
    <w:rsid w:val="78711EA5"/>
    <w:rsid w:val="78810134"/>
    <w:rsid w:val="78C23FF4"/>
    <w:rsid w:val="78D6426A"/>
    <w:rsid w:val="78FE2D8D"/>
    <w:rsid w:val="79312F28"/>
    <w:rsid w:val="797C2F98"/>
    <w:rsid w:val="798E037A"/>
    <w:rsid w:val="79A67472"/>
    <w:rsid w:val="79C32A15"/>
    <w:rsid w:val="79C546DA"/>
    <w:rsid w:val="7A0A14F7"/>
    <w:rsid w:val="7A2A10CD"/>
    <w:rsid w:val="7A4B5713"/>
    <w:rsid w:val="7A704CB7"/>
    <w:rsid w:val="7A8A6D94"/>
    <w:rsid w:val="7ABE6923"/>
    <w:rsid w:val="7AC20E0D"/>
    <w:rsid w:val="7AE63625"/>
    <w:rsid w:val="7B141AE6"/>
    <w:rsid w:val="7B354F51"/>
    <w:rsid w:val="7B484ED1"/>
    <w:rsid w:val="7B6C6499"/>
    <w:rsid w:val="7B9003DA"/>
    <w:rsid w:val="7B9559F0"/>
    <w:rsid w:val="7BCA0DB9"/>
    <w:rsid w:val="7BE14743"/>
    <w:rsid w:val="7BF256D2"/>
    <w:rsid w:val="7C336FB7"/>
    <w:rsid w:val="7C3E1BE4"/>
    <w:rsid w:val="7C432B6A"/>
    <w:rsid w:val="7C562FD2"/>
    <w:rsid w:val="7C5C2206"/>
    <w:rsid w:val="7C615578"/>
    <w:rsid w:val="7CEB53D6"/>
    <w:rsid w:val="7D133070"/>
    <w:rsid w:val="7D967F99"/>
    <w:rsid w:val="7DD00C43"/>
    <w:rsid w:val="7E374F5D"/>
    <w:rsid w:val="7E3E236F"/>
    <w:rsid w:val="7E494870"/>
    <w:rsid w:val="7E68119A"/>
    <w:rsid w:val="7E6D67B0"/>
    <w:rsid w:val="7E9975A5"/>
    <w:rsid w:val="7EB65150"/>
    <w:rsid w:val="7EF0118F"/>
    <w:rsid w:val="7EF3154F"/>
    <w:rsid w:val="7EF67423"/>
    <w:rsid w:val="7F3F70A9"/>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semiHidden="0" w:name="footnote reference"/>
    <w:lsdException w:qFormat="1"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2"/>
    <w:qFormat/>
    <w:uiPriority w:val="99"/>
    <w:pPr>
      <w:keepNext/>
      <w:keepLines/>
      <w:spacing w:before="340" w:after="330" w:line="579" w:lineRule="auto"/>
      <w:outlineLvl w:val="0"/>
    </w:pPr>
    <w:rPr>
      <w:rFonts w:ascii="Times New Roman" w:hAnsi="Times New Roman" w:eastAsia="宋体" w:cs="Times New Roman"/>
      <w:b/>
      <w:bCs/>
      <w:kern w:val="44"/>
      <w:sz w:val="30"/>
      <w:szCs w:val="44"/>
    </w:rPr>
  </w:style>
  <w:style w:type="paragraph" w:styleId="3">
    <w:name w:val="heading 2"/>
    <w:basedOn w:val="1"/>
    <w:next w:val="1"/>
    <w:link w:val="33"/>
    <w:autoRedefine/>
    <w:qFormat/>
    <w:uiPriority w:val="99"/>
    <w:pPr>
      <w:keepNext/>
      <w:keepLines/>
      <w:spacing w:before="260" w:after="260" w:line="416" w:lineRule="auto"/>
      <w:outlineLvl w:val="1"/>
    </w:pPr>
    <w:rPr>
      <w:rFonts w:ascii="Cambria" w:hAnsi="Cambria" w:cs="Times New Roman"/>
      <w:b/>
      <w:bCs/>
      <w:kern w:val="0"/>
      <w:sz w:val="32"/>
      <w:szCs w:val="32"/>
    </w:rPr>
  </w:style>
  <w:style w:type="paragraph" w:styleId="4">
    <w:name w:val="heading 3"/>
    <w:basedOn w:val="1"/>
    <w:next w:val="1"/>
    <w:link w:val="34"/>
    <w:autoRedefine/>
    <w:qFormat/>
    <w:uiPriority w:val="99"/>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4"/>
    <w:basedOn w:val="1"/>
    <w:next w:val="1"/>
    <w:link w:val="35"/>
    <w:autoRedefine/>
    <w:qFormat/>
    <w:uiPriority w:val="99"/>
    <w:pPr>
      <w:keepNext/>
      <w:keepLines/>
      <w:spacing w:before="280" w:after="290" w:line="376" w:lineRule="auto"/>
      <w:outlineLvl w:val="3"/>
    </w:pPr>
    <w:rPr>
      <w:rFonts w:ascii="Cambria" w:hAnsi="Cambria"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2520" w:leftChars="1200"/>
    </w:pPr>
    <w:rPr>
      <w:rFonts w:cs="Times New Roman"/>
    </w:rPr>
  </w:style>
  <w:style w:type="paragraph" w:styleId="7">
    <w:name w:val="Document Map"/>
    <w:basedOn w:val="1"/>
    <w:link w:val="36"/>
    <w:autoRedefine/>
    <w:unhideWhenUsed/>
    <w:qFormat/>
    <w:uiPriority w:val="0"/>
    <w:rPr>
      <w:rFonts w:ascii="宋体" w:cs="Times New Roman"/>
      <w:sz w:val="18"/>
      <w:szCs w:val="18"/>
    </w:rPr>
  </w:style>
  <w:style w:type="paragraph" w:styleId="8">
    <w:name w:val="annotation text"/>
    <w:basedOn w:val="1"/>
    <w:link w:val="37"/>
    <w:autoRedefine/>
    <w:unhideWhenUsed/>
    <w:qFormat/>
    <w:uiPriority w:val="99"/>
    <w:pPr>
      <w:jc w:val="left"/>
    </w:pPr>
    <w:rPr>
      <w:rFonts w:cs="Times New Roman"/>
    </w:rPr>
  </w:style>
  <w:style w:type="paragraph" w:styleId="9">
    <w:name w:val="Body Text"/>
    <w:basedOn w:val="1"/>
    <w:link w:val="38"/>
    <w:autoRedefine/>
    <w:qFormat/>
    <w:uiPriority w:val="1"/>
    <w:rPr>
      <w:rFonts w:ascii="Microsoft JhengHei" w:hAnsi="Microsoft JhengHei" w:eastAsia="Microsoft JhengHei" w:cs="Microsoft JhengHei"/>
      <w:b/>
      <w:bCs/>
      <w:szCs w:val="21"/>
      <w:lang w:val="zh-CN" w:bidi="zh-CN"/>
    </w:rPr>
  </w:style>
  <w:style w:type="paragraph" w:styleId="10">
    <w:name w:val="toc 5"/>
    <w:basedOn w:val="1"/>
    <w:next w:val="1"/>
    <w:autoRedefine/>
    <w:unhideWhenUsed/>
    <w:qFormat/>
    <w:uiPriority w:val="39"/>
    <w:pPr>
      <w:ind w:left="1680" w:leftChars="800"/>
    </w:pPr>
    <w:rPr>
      <w:rFonts w:cs="Times New Roman"/>
    </w:rPr>
  </w:style>
  <w:style w:type="paragraph" w:styleId="11">
    <w:name w:val="toc 3"/>
    <w:basedOn w:val="1"/>
    <w:next w:val="1"/>
    <w:autoRedefine/>
    <w:unhideWhenUsed/>
    <w:qFormat/>
    <w:uiPriority w:val="39"/>
    <w:pPr>
      <w:ind w:left="840" w:leftChars="400"/>
    </w:pPr>
    <w:rPr>
      <w:rFonts w:cs="Times New Roman"/>
    </w:rPr>
  </w:style>
  <w:style w:type="paragraph" w:styleId="12">
    <w:name w:val="toc 8"/>
    <w:basedOn w:val="1"/>
    <w:next w:val="1"/>
    <w:autoRedefine/>
    <w:unhideWhenUsed/>
    <w:qFormat/>
    <w:uiPriority w:val="39"/>
    <w:pPr>
      <w:ind w:left="2940" w:leftChars="1400"/>
    </w:pPr>
    <w:rPr>
      <w:rFonts w:cs="Times New Roman"/>
    </w:rPr>
  </w:style>
  <w:style w:type="paragraph" w:styleId="13">
    <w:name w:val="Balloon Text"/>
    <w:basedOn w:val="1"/>
    <w:link w:val="39"/>
    <w:autoRedefine/>
    <w:unhideWhenUsed/>
    <w:qFormat/>
    <w:uiPriority w:val="99"/>
    <w:rPr>
      <w:rFonts w:ascii="Times New Roman" w:hAnsi="Times New Roman" w:cs="Times New Roman"/>
      <w:kern w:val="0"/>
      <w:sz w:val="18"/>
      <w:szCs w:val="18"/>
    </w:rPr>
  </w:style>
  <w:style w:type="paragraph" w:styleId="14">
    <w:name w:val="footer"/>
    <w:basedOn w:val="1"/>
    <w:link w:val="40"/>
    <w:autoRedefine/>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5">
    <w:name w:val="header"/>
    <w:basedOn w:val="1"/>
    <w:link w:val="41"/>
    <w:autoRedefine/>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6">
    <w:name w:val="toc 1"/>
    <w:basedOn w:val="1"/>
    <w:next w:val="1"/>
    <w:autoRedefine/>
    <w:unhideWhenUsed/>
    <w:qFormat/>
    <w:uiPriority w:val="39"/>
    <w:pPr>
      <w:widowControl/>
      <w:spacing w:after="100" w:line="276" w:lineRule="auto"/>
      <w:jc w:val="left"/>
    </w:pPr>
    <w:rPr>
      <w:rFonts w:cs="Times New Roman"/>
      <w:kern w:val="0"/>
      <w:sz w:val="22"/>
    </w:rPr>
  </w:style>
  <w:style w:type="paragraph" w:styleId="17">
    <w:name w:val="toc 4"/>
    <w:basedOn w:val="1"/>
    <w:next w:val="1"/>
    <w:autoRedefine/>
    <w:unhideWhenUsed/>
    <w:qFormat/>
    <w:uiPriority w:val="39"/>
    <w:pPr>
      <w:ind w:left="1260" w:leftChars="600"/>
    </w:pPr>
    <w:rPr>
      <w:rFonts w:cs="Times New Roman"/>
    </w:rPr>
  </w:style>
  <w:style w:type="paragraph" w:styleId="18">
    <w:name w:val="footnote text"/>
    <w:basedOn w:val="1"/>
    <w:link w:val="42"/>
    <w:autoRedefine/>
    <w:unhideWhenUsed/>
    <w:qFormat/>
    <w:uiPriority w:val="0"/>
    <w:pPr>
      <w:snapToGrid w:val="0"/>
      <w:jc w:val="left"/>
    </w:pPr>
    <w:rPr>
      <w:rFonts w:cs="Times New Roman"/>
      <w:sz w:val="18"/>
      <w:szCs w:val="18"/>
    </w:rPr>
  </w:style>
  <w:style w:type="paragraph" w:styleId="19">
    <w:name w:val="toc 6"/>
    <w:basedOn w:val="1"/>
    <w:next w:val="1"/>
    <w:autoRedefine/>
    <w:unhideWhenUsed/>
    <w:qFormat/>
    <w:uiPriority w:val="39"/>
    <w:pPr>
      <w:ind w:left="2100" w:leftChars="1000"/>
    </w:pPr>
    <w:rPr>
      <w:rFonts w:cs="Times New Roman"/>
    </w:rPr>
  </w:style>
  <w:style w:type="paragraph" w:styleId="20">
    <w:name w:val="toc 2"/>
    <w:basedOn w:val="1"/>
    <w:next w:val="1"/>
    <w:autoRedefine/>
    <w:unhideWhenUsed/>
    <w:qFormat/>
    <w:uiPriority w:val="39"/>
    <w:pPr>
      <w:widowControl/>
      <w:tabs>
        <w:tab w:val="right" w:leader="dot" w:pos="8296"/>
      </w:tabs>
      <w:spacing w:after="100" w:line="276" w:lineRule="auto"/>
      <w:ind w:left="220"/>
      <w:jc w:val="left"/>
    </w:pPr>
    <w:rPr>
      <w:rFonts w:ascii="仿宋" w:hAnsi="仿宋" w:eastAsia="仿宋"/>
      <w:b/>
      <w:kern w:val="0"/>
      <w:sz w:val="22"/>
    </w:rPr>
  </w:style>
  <w:style w:type="paragraph" w:styleId="21">
    <w:name w:val="toc 9"/>
    <w:basedOn w:val="1"/>
    <w:next w:val="1"/>
    <w:autoRedefine/>
    <w:unhideWhenUsed/>
    <w:qFormat/>
    <w:uiPriority w:val="39"/>
    <w:pPr>
      <w:ind w:left="3360" w:leftChars="1600"/>
    </w:pPr>
    <w:rPr>
      <w:rFonts w:cs="Times New Roman"/>
    </w:rPr>
  </w:style>
  <w:style w:type="paragraph" w:styleId="22">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43"/>
    <w:autoRedefine/>
    <w:unhideWhenUsed/>
    <w:qFormat/>
    <w:uiPriority w:val="0"/>
    <w:rPr>
      <w:b/>
      <w:bCs/>
    </w:r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unhideWhenUsed/>
    <w:qFormat/>
    <w:uiPriority w:val="0"/>
  </w:style>
  <w:style w:type="character" w:styleId="28">
    <w:name w:val="FollowedHyperlink"/>
    <w:autoRedefine/>
    <w:unhideWhenUsed/>
    <w:qFormat/>
    <w:uiPriority w:val="99"/>
    <w:rPr>
      <w:color w:val="800080"/>
      <w:u w:val="single"/>
    </w:rPr>
  </w:style>
  <w:style w:type="character" w:styleId="29">
    <w:name w:val="Hyperlink"/>
    <w:autoRedefine/>
    <w:unhideWhenUsed/>
    <w:qFormat/>
    <w:uiPriority w:val="99"/>
    <w:rPr>
      <w:color w:val="0000FF"/>
      <w:u w:val="single"/>
    </w:rPr>
  </w:style>
  <w:style w:type="character" w:styleId="30">
    <w:name w:val="annotation reference"/>
    <w:autoRedefine/>
    <w:unhideWhenUsed/>
    <w:qFormat/>
    <w:uiPriority w:val="99"/>
    <w:rPr>
      <w:sz w:val="21"/>
      <w:szCs w:val="21"/>
    </w:rPr>
  </w:style>
  <w:style w:type="character" w:styleId="31">
    <w:name w:val="footnote reference"/>
    <w:autoRedefine/>
    <w:unhideWhenUsed/>
    <w:qFormat/>
    <w:uiPriority w:val="0"/>
    <w:rPr>
      <w:vertAlign w:val="superscript"/>
    </w:rPr>
  </w:style>
  <w:style w:type="character" w:customStyle="1" w:styleId="32">
    <w:name w:val="标题 1 字符"/>
    <w:link w:val="2"/>
    <w:autoRedefine/>
    <w:qFormat/>
    <w:uiPriority w:val="99"/>
    <w:rPr>
      <w:rFonts w:ascii="Times New Roman" w:hAnsi="Times New Roman" w:eastAsia="宋体"/>
      <w:b/>
      <w:bCs/>
      <w:kern w:val="44"/>
      <w:sz w:val="30"/>
      <w:szCs w:val="44"/>
    </w:rPr>
  </w:style>
  <w:style w:type="character" w:customStyle="1" w:styleId="33">
    <w:name w:val="标题 2 字符"/>
    <w:link w:val="3"/>
    <w:autoRedefine/>
    <w:qFormat/>
    <w:uiPriority w:val="99"/>
    <w:rPr>
      <w:rFonts w:ascii="Cambria" w:hAnsi="Cambria" w:eastAsia="宋体" w:cs="黑体"/>
      <w:b/>
      <w:bCs/>
      <w:sz w:val="32"/>
      <w:szCs w:val="32"/>
    </w:rPr>
  </w:style>
  <w:style w:type="character" w:customStyle="1" w:styleId="34">
    <w:name w:val="标题 3 字符"/>
    <w:link w:val="4"/>
    <w:autoRedefine/>
    <w:qFormat/>
    <w:uiPriority w:val="99"/>
    <w:rPr>
      <w:b/>
      <w:bCs/>
      <w:sz w:val="32"/>
      <w:szCs w:val="32"/>
    </w:rPr>
  </w:style>
  <w:style w:type="character" w:customStyle="1" w:styleId="35">
    <w:name w:val="标题 4 字符"/>
    <w:link w:val="5"/>
    <w:autoRedefine/>
    <w:qFormat/>
    <w:uiPriority w:val="99"/>
    <w:rPr>
      <w:rFonts w:ascii="Cambria" w:hAnsi="Cambria"/>
      <w:b/>
      <w:bCs/>
      <w:kern w:val="2"/>
      <w:sz w:val="28"/>
      <w:szCs w:val="28"/>
    </w:rPr>
  </w:style>
  <w:style w:type="character" w:customStyle="1" w:styleId="36">
    <w:name w:val="文档结构图 字符"/>
    <w:link w:val="7"/>
    <w:autoRedefine/>
    <w:semiHidden/>
    <w:qFormat/>
    <w:uiPriority w:val="0"/>
    <w:rPr>
      <w:rFonts w:ascii="宋体" w:hAnsi="Calibri" w:cs="黑体"/>
      <w:kern w:val="2"/>
      <w:sz w:val="18"/>
      <w:szCs w:val="18"/>
    </w:rPr>
  </w:style>
  <w:style w:type="character" w:customStyle="1" w:styleId="37">
    <w:name w:val="批注文字 字符"/>
    <w:link w:val="8"/>
    <w:autoRedefine/>
    <w:semiHidden/>
    <w:qFormat/>
    <w:uiPriority w:val="99"/>
    <w:rPr>
      <w:rFonts w:ascii="Calibri" w:hAnsi="Calibri" w:cs="黑体"/>
      <w:kern w:val="2"/>
      <w:sz w:val="21"/>
      <w:szCs w:val="22"/>
    </w:rPr>
  </w:style>
  <w:style w:type="character" w:customStyle="1" w:styleId="38">
    <w:name w:val="正文文本 字符"/>
    <w:link w:val="9"/>
    <w:autoRedefine/>
    <w:qFormat/>
    <w:uiPriority w:val="1"/>
    <w:rPr>
      <w:rFonts w:ascii="Microsoft JhengHei" w:hAnsi="Microsoft JhengHei" w:eastAsia="Microsoft JhengHei" w:cs="Microsoft JhengHei"/>
      <w:b/>
      <w:bCs/>
      <w:kern w:val="2"/>
      <w:sz w:val="21"/>
      <w:szCs w:val="21"/>
      <w:lang w:val="zh-CN" w:bidi="zh-CN"/>
    </w:rPr>
  </w:style>
  <w:style w:type="character" w:customStyle="1" w:styleId="39">
    <w:name w:val="批注框文本 字符"/>
    <w:link w:val="13"/>
    <w:autoRedefine/>
    <w:semiHidden/>
    <w:qFormat/>
    <w:uiPriority w:val="99"/>
    <w:rPr>
      <w:sz w:val="18"/>
      <w:szCs w:val="18"/>
    </w:rPr>
  </w:style>
  <w:style w:type="character" w:customStyle="1" w:styleId="40">
    <w:name w:val="页脚 字符"/>
    <w:link w:val="14"/>
    <w:autoRedefine/>
    <w:qFormat/>
    <w:uiPriority w:val="99"/>
    <w:rPr>
      <w:sz w:val="18"/>
      <w:szCs w:val="18"/>
    </w:rPr>
  </w:style>
  <w:style w:type="character" w:customStyle="1" w:styleId="41">
    <w:name w:val="页眉 字符"/>
    <w:link w:val="15"/>
    <w:autoRedefine/>
    <w:qFormat/>
    <w:uiPriority w:val="99"/>
    <w:rPr>
      <w:sz w:val="18"/>
      <w:szCs w:val="18"/>
    </w:rPr>
  </w:style>
  <w:style w:type="character" w:customStyle="1" w:styleId="42">
    <w:name w:val="脚注文本 字符"/>
    <w:link w:val="18"/>
    <w:autoRedefine/>
    <w:semiHidden/>
    <w:qFormat/>
    <w:uiPriority w:val="0"/>
    <w:rPr>
      <w:rFonts w:ascii="Calibri" w:hAnsi="Calibri" w:cs="黑体"/>
      <w:kern w:val="2"/>
      <w:sz w:val="18"/>
      <w:szCs w:val="18"/>
    </w:rPr>
  </w:style>
  <w:style w:type="character" w:customStyle="1" w:styleId="43">
    <w:name w:val="批注主题 字符"/>
    <w:link w:val="23"/>
    <w:autoRedefine/>
    <w:semiHidden/>
    <w:qFormat/>
    <w:uiPriority w:val="0"/>
    <w:rPr>
      <w:rFonts w:ascii="Calibri" w:hAnsi="Calibri" w:cs="黑体"/>
      <w:b/>
      <w:bCs/>
      <w:kern w:val="2"/>
      <w:sz w:val="21"/>
      <w:szCs w:val="22"/>
    </w:rPr>
  </w:style>
  <w:style w:type="character" w:customStyle="1" w:styleId="44">
    <w:name w:val="无间隔 Char"/>
    <w:link w:val="45"/>
    <w:autoRedefine/>
    <w:qFormat/>
    <w:uiPriority w:val="1"/>
    <w:rPr>
      <w:rFonts w:ascii="Calibri" w:hAnsi="Calibri"/>
      <w:sz w:val="22"/>
      <w:szCs w:val="22"/>
      <w:lang w:val="en-US" w:eastAsia="zh-CN" w:bidi="ar-SA"/>
    </w:rPr>
  </w:style>
  <w:style w:type="paragraph" w:customStyle="1" w:styleId="45">
    <w:name w:val="无间隔1"/>
    <w:link w:val="44"/>
    <w:autoRedefine/>
    <w:qFormat/>
    <w:uiPriority w:val="1"/>
    <w:rPr>
      <w:rFonts w:ascii="Calibri" w:hAnsi="Calibri" w:eastAsia="宋体" w:cs="Times New Roman"/>
      <w:sz w:val="22"/>
      <w:szCs w:val="22"/>
      <w:lang w:val="en-US" w:eastAsia="zh-CN" w:bidi="ar-SA"/>
    </w:rPr>
  </w:style>
  <w:style w:type="character" w:customStyle="1" w:styleId="46">
    <w:name w:val="15"/>
    <w:autoRedefine/>
    <w:qFormat/>
    <w:uiPriority w:val="0"/>
    <w:rPr>
      <w:rFonts w:hint="default" w:ascii="Times New Roman" w:hAnsi="Times New Roman" w:cs="Times New Roman"/>
      <w:color w:val="0000FF"/>
      <w:u w:val="single"/>
    </w:rPr>
  </w:style>
  <w:style w:type="character" w:customStyle="1" w:styleId="47">
    <w:name w:val="apple-converted-space"/>
    <w:autoRedefine/>
    <w:qFormat/>
    <w:uiPriority w:val="0"/>
  </w:style>
  <w:style w:type="paragraph" w:customStyle="1" w:styleId="48">
    <w:name w:val="TOC 标题1"/>
    <w:basedOn w:val="2"/>
    <w:next w:val="1"/>
    <w:autoRedefine/>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9">
    <w:name w:val="Char2"/>
    <w:basedOn w:val="1"/>
    <w:autoRedefine/>
    <w:qFormat/>
    <w:uiPriority w:val="0"/>
    <w:pPr>
      <w:widowControl/>
      <w:spacing w:after="160" w:line="240" w:lineRule="exact"/>
      <w:jc w:val="left"/>
    </w:pPr>
    <w:rPr>
      <w:rFonts w:ascii="Verdana" w:hAnsi="Verdana" w:cs="Times New Roman"/>
      <w:kern w:val="0"/>
      <w:sz w:val="20"/>
      <w:szCs w:val="20"/>
      <w:lang w:eastAsia="en-US"/>
    </w:rPr>
  </w:style>
  <w:style w:type="paragraph" w:customStyle="1" w:styleId="50">
    <w:name w:val="列出段落1"/>
    <w:basedOn w:val="1"/>
    <w:autoRedefine/>
    <w:qFormat/>
    <w:uiPriority w:val="34"/>
    <w:pPr>
      <w:ind w:firstLine="420" w:firstLineChars="200"/>
    </w:pPr>
  </w:style>
  <w:style w:type="paragraph" w:customStyle="1" w:styleId="51">
    <w:name w:val="TOC 标题1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2">
    <w:name w:val="修订1"/>
    <w:autoRedefine/>
    <w:semiHidden/>
    <w:qFormat/>
    <w:uiPriority w:val="99"/>
    <w:rPr>
      <w:rFonts w:ascii="Calibri" w:hAnsi="Calibri" w:eastAsia="宋体" w:cs="黑体"/>
      <w:kern w:val="2"/>
      <w:sz w:val="21"/>
      <w:szCs w:val="22"/>
      <w:lang w:val="en-US" w:eastAsia="zh-CN" w:bidi="ar-SA"/>
    </w:rPr>
  </w:style>
  <w:style w:type="table" w:customStyle="1" w:styleId="53">
    <w:name w:val="网格型3"/>
    <w:basedOn w:val="24"/>
    <w:autoRedefine/>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4">
    <w:name w:val="网格型4"/>
    <w:basedOn w:val="24"/>
    <w:autoRedefine/>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5">
    <w:name w:val="网格型7"/>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网格型9"/>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网格型2"/>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网格型5"/>
    <w:basedOn w:val="24"/>
    <w:autoRedefine/>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9">
    <w:name w:val="网格表 1 浅色1"/>
    <w:basedOn w:val="24"/>
    <w:autoRedefine/>
    <w:qFormat/>
    <w:uiPriority w:val="0"/>
    <w:rPr>
      <w:rFonts w:eastAsia="Times New Roman"/>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rFonts w:hint="default" w:ascii="Times New Roman" w:hAnsi="Times New Roman" w:cs="Times New Roman"/>
        <w:b/>
        <w:bCs/>
      </w:rPr>
      <w:tcPr>
        <w:tcBorders>
          <w:top w:val="nil"/>
          <w:left w:val="nil"/>
          <w:bottom w:val="single" w:color="666666" w:sz="12" w:space="0"/>
          <w:right w:val="nil"/>
          <w:insideH w:val="nil"/>
          <w:insideV w:val="nil"/>
          <w:tl2br w:val="nil"/>
          <w:tr2bl w:val="nil"/>
        </w:tcBorders>
      </w:tcPr>
    </w:tblStylePr>
    <w:tblStylePr w:type="lastRow">
      <w:rPr>
        <w:rFonts w:hint="default" w:ascii="Times New Roman" w:hAnsi="Times New Roman" w:cs="Times New Roman"/>
        <w:b/>
        <w:bCs/>
      </w:rPr>
      <w:tcPr>
        <w:tcBorders>
          <w:top w:val="double" w:color="666666" w:sz="2" w:space="0"/>
          <w:left w:val="nil"/>
          <w:bottom w:val="nil"/>
          <w:right w:val="nil"/>
          <w:insideH w:val="nil"/>
          <w:insideV w:val="nil"/>
          <w:tl2br w:val="nil"/>
          <w:tr2bl w:val="nil"/>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style>
  <w:style w:type="table" w:customStyle="1" w:styleId="60">
    <w:name w:val="网格型8"/>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网格型6"/>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网格型浅色1"/>
    <w:basedOn w:val="24"/>
    <w:autoRedefine/>
    <w:qFormat/>
    <w:uiPriority w:val="0"/>
    <w:rPr>
      <w:rFonts w:eastAsia="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63">
    <w:name w:val="网格型1"/>
    <w:basedOn w:val="24"/>
    <w:autoRedefine/>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Table Paragraph"/>
    <w:basedOn w:val="1"/>
    <w:autoRedefine/>
    <w:qFormat/>
    <w:uiPriority w:val="1"/>
    <w:rPr>
      <w:rFonts w:ascii="宋体" w:hAnsi="宋体" w:cs="宋体"/>
      <w:szCs w:val="24"/>
      <w:lang w:val="zh-CN" w:bidi="zh-CN"/>
    </w:rPr>
  </w:style>
  <w:style w:type="paragraph" w:styleId="65">
    <w:name w:val="List Paragraph"/>
    <w:basedOn w:val="1"/>
    <w:qFormat/>
    <w:uiPriority w:val="99"/>
    <w:pPr>
      <w:spacing w:line="560" w:lineRule="exact"/>
      <w:ind w:firstLine="420" w:firstLineChars="200"/>
    </w:pPr>
    <w:rPr>
      <w:rFonts w:ascii="Times New Roman" w:hAnsi="Times New Roman" w:eastAsia="仿宋_GB2312" w:cs="Times New Roman"/>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e5e5b2c7-c33c-4eb7-a1c7-1bcf92a741e4</errorID>
      <errorWord>法律、法规</errorWord>
      <group>L1_Word</group>
      <groupName>字词问题</groupName>
      <ability>L2_Typo</ability>
      <abilityName>字词错误</abilityName>
      <candidateList>
        <item>法律法规</item>
      </candidateList>
      <explain/>
      <paraID>670930A8</paraID>
      <start>131</start>
      <end>136</end>
      <status>ignored</status>
      <modifiedWord/>
      <trackRevisions>false</trackRevisions>
    </reviewItem>
    <reviewItem>
      <errorID>466e5cbc-36c1-4eaa-914c-12b242aeccb5</errorID>
      <errorWord>发生</errorWord>
      <group>L1_Word</group>
      <groupName>字词问题</groupName>
      <ability>L2_Typo</ability>
      <abilityName>字词错误</abilityName>
      <candidateList>
        <item>当</item>
      </candidateList>
      <explain/>
      <paraID>30311E40</paraID>
      <start>0</start>
      <end>2</end>
      <status>ignored</status>
      <modifiedWord/>
      <trackRevisions>false</trackRevisions>
    </reviewItem>
    <reviewItem>
      <errorID>c4b868e1-fb0b-44e3-b0a2-9295b48de941</errorID>
      <errorWord>应</errorWord>
      <group>L1_Word</group>
      <groupName>字词问题</groupName>
      <ability>L2_Typo</ability>
      <abilityName>字词错误</abilityName>
      <candidateList>
        <item>应当</item>
      </candidateList>
      <explain/>
      <paraID>5B672417</paraID>
      <start>6</start>
      <end>7</end>
      <status>ignored</status>
      <modifiedWord/>
      <trackRevisions>false</trackRevisions>
    </reviewItem>
    <reviewItem>
      <errorID>fef0d801-6336-4c1d-8e6a-36c50081db44</errorID>
      <errorWord>，</errorWord>
      <group>L1_Word</group>
      <groupName>字词问题</groupName>
      <ability>L2_Typo</ability>
      <abilityName>字词错误</abilityName>
      <candidateList>
        <item>，在</item>
      </candidateList>
      <explain/>
      <paraID>7117927E</paraID>
      <start>24</start>
      <end>25</end>
      <status>ignored</status>
      <modifiedWord/>
      <trackRevisions>false</trackRevisions>
    </reviewItem>
    <reviewItem>
      <errorID>63f0e385-9731-45ca-b051-d86f98e68064</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662CF3F0</paraID>
      <start>40</start>
      <end>42</end>
      <status>ignored</status>
      <modifiedWord/>
      <trackRevisions>false</trackRevisions>
    </reviewItem>
    <reviewItem>
      <errorID>323b96b9-261f-4eee-a9d8-e2371665579f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2C8C2339</paraID>
      <start>25</start>
      <end>26</end>
      <status>ignored</status>
      <modifiedWord/>
      <trackRevisions>false</trackRevisions>
    </reviewItem>
    <reviewItem>
      <errorID>fff44025-cff4-412c-afaa-b21b195fd2a1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2BF969F4</paraID>
      <start>25</start>
      <end>26</end>
      <status>ignored</status>
      <modifiedWord/>
      <trackRevisions>false</trackRevisions>
    </reviewItem>
    <reviewItem>
      <errorID>9bc23c36-f14f-4a64-805f-2b18c3fbc58c</errorID>
      <errorWord>的</errorWord>
      <group>L1_Word</group>
      <groupName>字词问题</groupName>
      <ability>L2_Typo</ability>
      <abilityName>字词错误</abilityName>
      <candidateList>
        <item>之</item>
      </candidateList>
      <explain/>
      <paraID>524C3975</paraID>
      <start>41</start>
      <end>42</end>
      <status>ignored</status>
      <modifiedWord/>
      <trackRevisions>false</trackRevisions>
    </reviewItem>
    <reviewItem>
      <errorID>d2f47a62-8658-4820-9e59-ed84b8dd67ae</errorID>
      <errorWord>累积</errorWord>
      <group>L1_Word</group>
      <groupName>字词问题</groupName>
      <ability>L2_Typo</ability>
      <abilityName>字词错误</abilityName>
      <candidateList>
        <item>累计</item>
      </candidateList>
      <explain/>
      <paraID>2A719F54</paraID>
      <start>68</start>
      <end>70</end>
      <status>ignored</status>
      <modifiedWord/>
      <trackRevisions>false</trackRevisions>
    </reviewItem>
    <reviewItem>
      <errorID>3af0440c-fcd8-410e-a485-b40075f18da9</errorID>
      <errorWord>星级</errorWord>
      <group>L1_Grammar</group>
      <groupName>语法问题</groupName>
      <ability>L2_Grammar</ability>
      <abilityName>语法错误</abilityName>
      <candidateList>
        <item>进行星级</item>
      </candidateList>
      <explain/>
      <paraID>2A719F54</paraID>
      <start>78</start>
      <end>80</end>
      <status>ignored</status>
      <modifiedWord/>
      <trackRevisions>false</trackRevisions>
    </reviewItem>
    <reviewItem>
      <errorID>8f438dd8-0535-4ea2-9317-1d670361b11d</errorID>
      <errorWord>一星奖</errorWord>
      <group>L1_Word</group>
      <groupName>字词问题</groupName>
      <ability>L2_Typo</ability>
      <abilityName>字词错误</abilityName>
      <candidateList>
        <item>一星级</item>
      </candidateList>
      <explain/>
      <paraID>4E4B90BA</paraID>
      <start>81</start>
      <end>84</end>
      <status>ignored</status>
      <modifiedWord/>
      <trackRevisions>false</trackRevisions>
    </reviewItem>
    <reviewItem>
      <errorID>cc309bb4-4b73-4871-b171-b25a7f10367d</errorID>
      <errorWord>发该</errorWord>
      <group>L1_Word</group>
      <groupName>字词问题</groupName>
      <ability>L2_Typo</ability>
      <abilityName>字词错误</abilityName>
      <candidateList>
        <item>发给</item>
      </candidateList>
      <explain/>
      <paraID>6307F3F2</paraID>
      <start>59</start>
      <end>61</end>
      <status>ignored</status>
      <modifiedWord/>
      <trackRevisions>false</trackRevisions>
    </reviewItem>
    <reviewItem>
      <errorID>c64de7ce-a18f-4b5a-8aba-0c8db62d5444</errorID>
      <errorWord>因为</errorWord>
      <group>L1_Word</group>
      <groupName>字词问题</groupName>
      <ability>L2_Typo</ability>
      <abilityName>字词错误</abilityName>
      <candidateList>
        <item>、由</item>
      </candidateList>
      <explain/>
      <paraID>7483AB14</paraID>
      <start>15</start>
      <end>17</end>
      <status>ignored</status>
      <modifiedWord/>
      <trackRevisions>false</trackRevisions>
    </reviewItem>
    <reviewItem>
      <errorID>af7a6c87-a871-4977-bbb4-801fb3bbbf0e</errorID>
      <errorWord>因为</errorWord>
      <group>L1_Word</group>
      <groupName>字词问题</groupName>
      <ability>L2_Typo</ability>
      <abilityName>字词错误</abilityName>
      <candidateList>
        <item>、由</item>
      </candidateList>
      <explain/>
      <paraID>5F723013</paraID>
      <start>15</start>
      <end>17</end>
      <status>ignored</status>
      <modifiedWord/>
      <trackRevisions>false</trackRevisions>
    </reviewItem>
    <reviewItem>
      <errorID>a4b5324a-a65f-4c8e-8b40-4fabbe5dc683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731E4029</paraID>
      <start>66</start>
      <end>67</end>
      <status>ignored</status>
      <modifiedWord/>
      <trackRevisions>false</trackRevisions>
    </reviewItem>
    <reviewItem>
      <errorID>a2b2992f-1b3b-471b-aa4d-7732c5dc559c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731E4029</paraID>
      <start>87</start>
      <end>88</end>
      <status>ignored</status>
      <modifiedWord/>
      <trackRevisions>false</trackRevisions>
    </reviewItem>
    <reviewItem>
      <errorID>40787c11-dd79-454b-9cf7-4c2a677a0d7c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731E4029</paraID>
      <start>108</start>
      <end>109</end>
      <status>ignored</status>
      <modifiedWord/>
      <trackRevisions>false</trackRevisions>
    </reviewItem>
    <reviewItem>
      <errorID>4861a251-c795-495b-bb0c-270fd1253053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731E4029</paraID>
      <start>132</start>
      <end>133</end>
      <status>ignored</status>
      <modifiedWord/>
      <trackRevisions>false</trackRevisions>
    </reviewItem>
    <reviewItem>
      <errorID>5d59664c-cfee-427b-9ce8-17f0aeb6ca9c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731E4029</paraID>
      <start>155</start>
      <end>156</end>
      <status>ignored</status>
      <modifiedWord/>
      <trackRevisions>false</trackRevisions>
    </reviewItem>
    <reviewItem>
      <errorID>d25e235a-c373-4efb-a7fa-7a81dcf69b7b</errorID>
      <errorWord>机场运营人的主要负责人、安全生产分管负责人、运行安全分管负责人岗位只要</errorWord>
      <group>L1_Word</group>
      <groupName>字词问题</groupName>
      <ability>L2_Typo</ability>
      <abilityName>字词错误</abilityName>
      <candidateList>
        <item>只要机场运营人的主要负责人、安全生产分管负责人、运行安全分管负责人岗位</item>
      </candidateList>
      <explain/>
      <paraID>4A615F53</paraID>
      <start>0</start>
      <end>35</end>
      <status>ignored</status>
      <modifiedWord/>
      <trackRevisions>false</trackRevisions>
    </reviewItem>
    <reviewItem>
      <errorID>1f334bf8-f8ef-4c3b-87d3-9c0ab36744be</errorID>
      <errorWord>两位同时出现</errorWord>
      <group>L1_Word</group>
      <groupName>字词问题</groupName>
      <ability>L2_Typo</ability>
      <abilityName>字词错误</abilityName>
      <candidateList>
        <item>同时出现两位</item>
      </candidateList>
      <explain/>
      <paraID>4A615F53</paraID>
      <start>90</start>
      <end>96</end>
      <status>ignored</status>
      <modifiedWord/>
      <trackRevisions>false</trackRevisions>
    </reviewItem>
    <reviewItem>
      <errorID>f9ad5def-eb87-40ac-9d8b-62f96710eec9</errorID>
      <errorWord>至少一名具有5年以上</errorWord>
      <group>L1_Grammar</group>
      <groupName>语法问题</groupName>
      <ability>L2_Grammar</ability>
      <abilityName>语法错误</abilityName>
      <candidateList>
        <item>至少一名具有5年</item>
      </candidateList>
      <explain>该表达中的“至少一名具有5年以上”存在语义重复。</explain>
      <paraID>5DF3916F</paraID>
      <start>32</start>
      <end>42</end>
      <status>ignored</status>
      <modifiedWord/>
      <trackRevisions>false</trackRevisions>
    </reviewItem>
    <reviewItem>
      <errorID>7a59f624-9194-4f1a-8475-d3ea9eff8c80</errorID>
      <errorWord>，</errorWord>
      <group>L1_Grammar</group>
      <groupName>语法问题</groupName>
      <ability>L2_Grammar</ability>
      <abilityName>语法错误</abilityName>
      <candidateList>
        <item>要求，</item>
      </candidateList>
      <explain/>
      <paraID>5DF3916F</paraID>
      <start>51</start>
      <end>52</end>
      <status>ignored</status>
      <modifiedWord/>
      <trackRevisions>false</trackRevisions>
    </reviewItem>
    <reviewItem>
      <errorID>468c3121-5cda-4c51-9494-bc4efd0dee8e</errorID>
      <errorWord>至少</errorWord>
      <group>L1_Grammar</group>
      <groupName>语法问题</groupName>
      <ability>L2_Grammar</ability>
      <abilityName>语法错误</abilityName>
      <candidateList>
        <item>其中至少</item>
      </candidateList>
      <explain/>
      <paraID>2BE3E244</paraID>
      <start>69</start>
      <end>71</end>
      <status>ignored</status>
      <modifiedWord/>
      <trackRevisions>false</trackRevisions>
    </reviewItem>
    <reviewItem>
      <errorID>f545d6d9-1124-4fa2-9c06-481d6d51a173</errorID>
      <errorWord>，</errorWord>
      <group>L1_Grammar</group>
      <groupName>语法问题</groupName>
      <ability>L2_Grammar</ability>
      <abilityName>语法错误</abilityName>
      <candidateList>
        <item>要求，</item>
      </candidateList>
      <explain/>
      <paraID>2BE3E244</paraID>
      <start>115</start>
      <end>116</end>
      <status>ignored</status>
      <modifiedWord/>
      <trackRevisions>false</trackRevisions>
    </reviewItem>
    <reviewItem>
      <errorID>5b1fcddf-178d-4716-ab55-b73c2cb768f3</errorID>
      <errorWord>，</errorWord>
      <group>L1_Grammar</group>
      <groupName>语法问题</groupName>
      <ability>L2_Grammar</ability>
      <abilityName>语法错误</abilityName>
      <candidateList>
        <item>要求，</item>
      </candidateList>
      <explain/>
      <paraID> 10EA00B</paraID>
      <start>56</start>
      <end>57</end>
      <status>ignored</status>
      <modifiedWord/>
      <trackRevisions>false</trackRevisions>
    </reviewItem>
    <reviewItem>
      <errorID>7081ccd6-cf21-4549-be9a-1c49b2ecced6</errorID>
      <errorWord>，</errorWord>
      <group>L1_Grammar</group>
      <groupName>语法问题</groupName>
      <ability>L2_Grammar</ability>
      <abilityName>语法错误</abilityName>
      <candidateList>
        <item>要求，</item>
      </candidateList>
      <explain/>
      <paraID>4C512AEC</paraID>
      <start>55</start>
      <end>56</end>
      <status>ignored</status>
      <modifiedWord/>
      <trackRevisions>false</trackRevisions>
    </reviewItem>
    <reviewItem>
      <errorID>80539053-3edc-4bba-8fcf-57e243fc87e5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52148164</paraID>
      <start>59</start>
      <end>60</end>
      <status>ignored</status>
      <modifiedWord/>
      <trackRevisions>false</trackRevisions>
    </reviewItem>
    <reviewItem>
      <errorID>a744e920-4f8c-4aff-8ddc-bacacec7717e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52148164</paraID>
      <start>80</start>
      <end>81</end>
      <status>ignored</status>
      <modifiedWord/>
      <trackRevisions>false</trackRevisions>
    </reviewItem>
    <reviewItem>
      <errorID>831b4fd4-3a7b-4b89-800d-8becf5c43cb5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52148164</paraID>
      <start>101</start>
      <end>102</end>
      <status>ignored</status>
      <modifiedWord/>
      <trackRevisions>false</trackRevisions>
    </reviewItem>
    <reviewItem>
      <errorID>0519d65b-be05-45e4-8b74-14d404424cfb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52148164</paraID>
      <start>123</start>
      <end>124</end>
      <status>ignored</status>
      <modifiedWord/>
      <trackRevisions>false</trackRevisions>
    </reviewItem>
    <reviewItem>
      <errorID>9a1c64c6-7658-4816-9726-fee5cd3f6758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52148164</paraID>
      <start>144</start>
      <end>145</end>
      <status>ignored</status>
      <modifiedWord/>
      <trackRevisions>false</trackRevisions>
    </reviewItem>
    <reviewItem>
      <errorID>50db9e4f-9e33-4968-808c-ecf064ece24b</errorID>
      <errorWord>管理办法》中</errorWord>
      <group>L1_Word</group>
      <groupName>字词问题</groupName>
      <ability>L2_Typo</ability>
      <abilityName>字词错误</abilityName>
      <candidateList>
        <item>管理办法》</item>
      </candidateList>
      <explain/>
      <paraID>5476E944</paraID>
      <start>67</start>
      <end>73</end>
      <status>ignored</status>
      <modifiedWord/>
      <trackRevisions>false</trackRevisions>
    </reviewItem>
    <reviewItem>
      <errorID>1ad4e859-9040-43c7-ae83-1f59271b31d4</errorID>
      <errorWord>指标样例</errorWord>
      <group>L1_Grammar</group>
      <groupName>语法问题</groupName>
      <ability>L2_Grammar</ability>
      <abilityName>语法错误</abilityName>
      <candidateList>
        <item>指标</item>
      </candidateList>
      <explain/>
      <paraID>70DFBBAE</paraID>
      <start>4</start>
      <end>8</end>
      <status>ignored</status>
      <modifiedWord/>
      <trackRevisions>false</trackRevisions>
    </reviewItem>
    <reviewItem>
      <errorID>50e1fdd1-c29e-46cf-b48a-8db701ab5297</errorID>
      <errorWord>。</errorWord>
      <group>L1_Grammar</group>
      <groupName>语法问题</groupName>
      <ability>L2_Grammar</ability>
      <abilityName>语法错误</abilityName>
      <candidateList>
        <item>情况。</item>
      </candidateList>
      <explain/>
      <paraID>40E29683</paraID>
      <start>61</start>
      <end>62</end>
      <status>ignored</status>
      <modifiedWord/>
      <trackRevisions>false</trackRevisions>
    </reviewItem>
    <reviewItem>
      <errorID>4a85534c-679e-436f-874a-aa4bd5692a06</errorID>
      <errorWord>高于或等于</errorWord>
      <group>L1_Knowledge</group>
      <groupName>知识性问题</groupName>
      <ability>L2_Term</ability>
      <abilityName>专业术语</abilityName>
      <candidateList>
        <item>小于或等于</item>
      </candidateList>
      <explain/>
      <paraID>738D46E0</paraID>
      <start>12</start>
      <end>17</end>
      <status>ignored</status>
      <modifiedWord/>
      <trackRevisions>false</trackRevisions>
    </reviewItem>
    <reviewItem>
      <errorID>25b2f268-605f-428c-acf8-003d59764cd3</errorID>
      <errorWord>*</errorWord>
      <group>L1_Punc</group>
      <groupName>标点问题</groupName>
      <ability>L2_Punc_CN</ability>
      <abilityName>标点符号检查</abilityName>
      <candidateList/>
      <explain/>
      <paraID>16150B23</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36721-CFF0-4298-A5F8-DF594446C6FE}">
  <ds:schemaRefs/>
</ds:datastoreItem>
</file>

<file path=customXml/itemProps3.xml><?xml version="1.0" encoding="utf-8"?>
<ds:datastoreItem xmlns:ds="http://schemas.openxmlformats.org/officeDocument/2006/customXml" ds:itemID="{5c3fe53a-97e9-4eb6-ada2-9900f2ec21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9125</Words>
  <Characters>9295</Characters>
  <Lines>122</Lines>
  <Paragraphs>34</Paragraphs>
  <TotalTime>2</TotalTime>
  <ScaleCrop>false</ScaleCrop>
  <LinksUpToDate>false</LinksUpToDate>
  <CharactersWithSpaces>9384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2025-12-25T01:07:00Z</dcterms:created>
  <dc:creator>M09刘晓青</dc:creator>
  <cp:lastModifiedBy>23</cp:lastModifiedBy>
  <cp:lastPrinted>2026-07-23T03:07:00Z</cp:lastPrinted>
  <dcterms:modified xsi:type="dcterms:W3CDTF">2026-08-13T00:19:00Z</dcterms:modified>
  <dc:title>机场运行保障能力评估指南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FF9B34DA6E9445F3AE499E35A34458A6_13</vt:lpwstr>
  </property>
  <property fmtid="{D5CDD505-2E9C-101B-9397-08002B2CF9AE}" pid="4" name="KSOTemplateDocerSaveRecord">
    <vt:lpwstr>eyJoZGlkIjoiYmQ2NTI2ZTQzODU4NzlhYjlkN2I2NjhmZWRiNTkwNTkiLCJ1c2VySWQiOiIxOTQzMDE1MTIifQ==</vt:lpwstr>
  </property>
</Properties>
</file>