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480" w:lineRule="auto"/>
        <w:ind w:left="1" w:hanging="3"/>
        <w:rPr>
          <w:rFonts w:hint="eastAsia" w:ascii="仿宋" w:hAnsi="仿宋" w:eastAsia="仿宋" w:cs="宋体"/>
          <w:sz w:val="28"/>
          <w:szCs w:val="28"/>
          <w:lang w:eastAsia="zh-CN"/>
        </w:rPr>
      </w:pPr>
      <w:bookmarkStart w:id="2" w:name="_GoBack"/>
      <w:bookmarkEnd w:id="2"/>
      <w:r>
        <w:rPr>
          <w:rFonts w:ascii="仿宋" w:hAnsi="仿宋" w:eastAsia="仿宋" w:cs="宋体"/>
          <w:sz w:val="28"/>
          <w:szCs w:val="28"/>
          <w:lang w:eastAsia="zh-CN"/>
        </w:rPr>
        <w:t>专用条件</w:t>
      </w:r>
      <w:r>
        <w:rPr>
          <w:rFonts w:hint="eastAsia" w:ascii="仿宋" w:hAnsi="仿宋" w:eastAsia="仿宋" w:cs="宋体"/>
          <w:sz w:val="28"/>
          <w:szCs w:val="28"/>
          <w:lang w:eastAsia="zh-CN"/>
        </w:rPr>
        <w:t>：</w:t>
      </w:r>
      <w:r>
        <w:rPr>
          <w:rFonts w:ascii="仿宋" w:hAnsi="仿宋" w:eastAsia="仿宋" w:cs="宋体"/>
          <w:sz w:val="28"/>
          <w:szCs w:val="28"/>
          <w:u w:val="single"/>
          <w:lang w:eastAsia="zh-CN"/>
        </w:rPr>
        <w:t>H160-B直升机不可充电锂电池</w:t>
      </w:r>
      <w:r>
        <w:rPr>
          <w:rFonts w:ascii="仿宋" w:hAnsi="仿宋" w:eastAsia="仿宋" w:cs="宋体"/>
          <w:sz w:val="28"/>
          <w:szCs w:val="28"/>
          <w:lang w:eastAsia="zh-CN"/>
        </w:rPr>
        <w:t>征求意见稿</w:t>
      </w:r>
    </w:p>
    <w:p>
      <w:pPr>
        <w:widowControl w:val="0"/>
        <w:spacing w:line="480" w:lineRule="auto"/>
        <w:ind w:left="1" w:hanging="3"/>
        <w:rPr>
          <w:rFonts w:hint="default" w:ascii="仿宋" w:hAnsi="仿宋" w:eastAsia="仿宋" w:cs="宋体"/>
          <w:sz w:val="28"/>
          <w:szCs w:val="28"/>
          <w:lang w:val="en-US" w:eastAsia="zh-CN"/>
        </w:rPr>
      </w:pPr>
      <w:r>
        <w:rPr>
          <w:rFonts w:ascii="仿宋" w:hAnsi="仿宋" w:eastAsia="仿宋" w:cs="宋体"/>
          <w:sz w:val="28"/>
          <w:szCs w:val="28"/>
          <w:lang w:eastAsia="zh-CN"/>
        </w:rPr>
        <w:t>编号：</w:t>
      </w:r>
      <w:bookmarkStart w:id="0" w:name="OLE_LINK1"/>
      <w:r>
        <w:rPr>
          <w:rFonts w:hint="eastAsia" w:ascii="宋体" w:hAnsi="宋体" w:eastAsia="宋体"/>
          <w:sz w:val="28"/>
          <w:szCs w:val="28"/>
          <w:lang w:eastAsia="zh-CN"/>
        </w:rPr>
        <w:t>SC-29-</w:t>
      </w:r>
      <w:bookmarkEnd w:id="0"/>
      <w:r>
        <w:rPr>
          <w:rFonts w:hint="eastAsia" w:ascii="宋体" w:hAnsi="宋体" w:eastAsia="宋体"/>
          <w:sz w:val="28"/>
          <w:szCs w:val="28"/>
          <w:lang w:val="en-US" w:eastAsia="zh-CN"/>
        </w:rPr>
        <w:t>03</w:t>
      </w:r>
    </w:p>
    <w:p>
      <w:pPr>
        <w:widowControl w:val="0"/>
        <w:spacing w:line="48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反馈意见截止期：自通知颁发的10个工作日</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1. 概述</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直升机不可充电锂电池为申请人的一项新颖或独特的设计特征。H160-B 配备了不可充电锂电池的设备，当申请人声明每个含有不可充电锂电池的设备处于安全可用状态时，应完成相应的符合性验证工作。H160-B直升机审定基础中适用的适航规章CCAR-29 R1，包括29.1353条款，没有充分考虑不可充电锂电池失效的危害，而这些威胁可能会危及直升机的安全,需制定专用条件，且专用条件应具有与CCAR-29 R1等效的安全水平。</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2. 背景</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Airbus Helicopter公司于2021年7月27日向中国民用航空局提交了H160-B直升机的型号认可证申请书。按照中欧TIPs要求，应参考该型号向原审国局方（EASA）申请的日期，将认可局方（CAAC）当时有效的适航规章版本(CCAR-29R1)，确定为认可局方（CAAC）审定基础。</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涉及可充电和不可充电锂电池的事件促使中国民航局开始对这些储能技术进行广泛评估。一些涉及可充电锂离子电池的独立事件反映了该电池可能会出现意外的故障模式。例如，意外的故障模式涉及在紧急定位发射器安装不可充电锂电池的事件。与不可充电锂电池相关的一些已知的潜在危险和故障模式包括：内部故障、快速放电和易燃性。H160-B直升机适用的适航规章 CCAR-29R1 中不包含相关条款要求，参考EASA SC F-13直升机不可充电锂电池</w:t>
      </w:r>
      <w:r>
        <w:rPr>
          <w:rFonts w:hint="eastAsia" w:ascii="仿宋" w:hAnsi="仿宋" w:eastAsia="仿宋" w:cs="宋体"/>
          <w:sz w:val="28"/>
          <w:szCs w:val="28"/>
          <w:lang w:eastAsia="zh-CN"/>
        </w:rPr>
        <w:t>专用条件</w:t>
      </w:r>
      <w:r>
        <w:rPr>
          <w:rFonts w:ascii="仿宋" w:hAnsi="仿宋" w:eastAsia="仿宋" w:cs="宋体"/>
          <w:sz w:val="28"/>
          <w:szCs w:val="28"/>
          <w:lang w:eastAsia="zh-CN"/>
        </w:rPr>
        <w:t>要求，形成了本专用条件，以涵盖上述直升机不可充电锂电池处于安全可用工况。</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3. 适用范围</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H160-B 直升机。</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4. 专用条件草案</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考虑到不可充电锂电池的相关情况，H160-B直升机应满足如下要求：</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 xml:space="preserve">(1) </w:t>
      </w:r>
      <w:r>
        <w:rPr>
          <w:rFonts w:hint="eastAsia" w:ascii="仿宋" w:hAnsi="仿宋" w:eastAsia="仿宋" w:cs="宋体"/>
          <w:sz w:val="28"/>
          <w:szCs w:val="28"/>
          <w:lang w:eastAsia="zh-CN"/>
        </w:rPr>
        <w:t>应</w:t>
      </w:r>
      <w:r>
        <w:rPr>
          <w:rFonts w:ascii="仿宋" w:hAnsi="仿宋" w:eastAsia="仿宋" w:cs="宋体"/>
          <w:sz w:val="28"/>
          <w:szCs w:val="28"/>
          <w:lang w:eastAsia="zh-CN"/>
        </w:rPr>
        <w:t>设计在所有可预见的运行条件下</w:t>
      </w:r>
      <w:r>
        <w:rPr>
          <w:rFonts w:hint="eastAsia" w:ascii="仿宋" w:hAnsi="仿宋" w:eastAsia="仿宋" w:cs="宋体"/>
          <w:sz w:val="28"/>
          <w:szCs w:val="28"/>
          <w:lang w:eastAsia="zh-CN"/>
        </w:rPr>
        <w:t>，</w:t>
      </w:r>
      <w:r>
        <w:rPr>
          <w:rFonts w:ascii="仿宋" w:hAnsi="仿宋" w:eastAsia="仿宋" w:cs="宋体"/>
          <w:sz w:val="28"/>
          <w:szCs w:val="28"/>
          <w:lang w:eastAsia="zh-CN"/>
        </w:rPr>
        <w:t>保持安全的电</w:t>
      </w:r>
      <w:r>
        <w:rPr>
          <w:rFonts w:hint="eastAsia" w:ascii="仿宋" w:hAnsi="仿宋" w:eastAsia="仿宋" w:cs="宋体"/>
          <w:sz w:val="28"/>
          <w:szCs w:val="28"/>
          <w:lang w:eastAsia="zh-CN"/>
        </w:rPr>
        <w:t>芯</w:t>
      </w:r>
      <w:r>
        <w:rPr>
          <w:rFonts w:ascii="仿宋" w:hAnsi="仿宋" w:eastAsia="仿宋" w:cs="宋体"/>
          <w:sz w:val="28"/>
          <w:szCs w:val="28"/>
          <w:lang w:eastAsia="zh-CN"/>
        </w:rPr>
        <w:t>温度和压力，以防止火灾和爆炸。</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 xml:space="preserve">(2) </w:t>
      </w:r>
      <w:r>
        <w:rPr>
          <w:rFonts w:hint="eastAsia" w:ascii="仿宋" w:hAnsi="仿宋" w:eastAsia="仿宋" w:cs="宋体"/>
          <w:sz w:val="28"/>
          <w:szCs w:val="28"/>
          <w:lang w:eastAsia="zh-CN"/>
        </w:rPr>
        <w:t>应</w:t>
      </w:r>
      <w:r>
        <w:rPr>
          <w:rFonts w:ascii="仿宋" w:hAnsi="仿宋" w:eastAsia="仿宋" w:cs="宋体"/>
          <w:sz w:val="28"/>
          <w:szCs w:val="28"/>
          <w:lang w:eastAsia="zh-CN"/>
        </w:rPr>
        <w:t>设计防止发生自持、不可控的温度或压力升高。</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 xml:space="preserve">(3) </w:t>
      </w:r>
      <w:r>
        <w:rPr>
          <w:rFonts w:hint="eastAsia" w:ascii="仿宋" w:hAnsi="仿宋" w:eastAsia="仿宋" w:cs="宋体"/>
          <w:sz w:val="28"/>
          <w:szCs w:val="28"/>
          <w:lang w:eastAsia="zh-CN"/>
        </w:rPr>
        <w:t>在正常运行或故障情况下，</w:t>
      </w:r>
      <w:r>
        <w:rPr>
          <w:rFonts w:ascii="仿宋" w:hAnsi="仿宋" w:eastAsia="仿宋" w:cs="宋体"/>
          <w:sz w:val="28"/>
          <w:szCs w:val="28"/>
          <w:lang w:eastAsia="zh-CN"/>
        </w:rPr>
        <w:t>不释放爆炸性或有毒气体，这些气体可能在飞机内积聚到危险的数量。</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(4) 满足 29.863(a)至(d)的要求。</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(5) 可能逸出</w:t>
      </w:r>
      <w:r>
        <w:rPr>
          <w:rFonts w:hint="eastAsia" w:ascii="仿宋" w:hAnsi="仿宋" w:eastAsia="仿宋" w:cs="宋体"/>
          <w:sz w:val="28"/>
          <w:szCs w:val="28"/>
          <w:lang w:eastAsia="zh-CN"/>
        </w:rPr>
        <w:t>的</w:t>
      </w:r>
      <w:r>
        <w:rPr>
          <w:rFonts w:ascii="仿宋" w:hAnsi="仿宋" w:eastAsia="仿宋" w:cs="宋体"/>
          <w:sz w:val="28"/>
          <w:szCs w:val="28"/>
          <w:lang w:eastAsia="zh-CN"/>
        </w:rPr>
        <w:t>腐蚀</w:t>
      </w:r>
      <w:r>
        <w:rPr>
          <w:rFonts w:hint="eastAsia" w:ascii="仿宋" w:hAnsi="仿宋" w:eastAsia="仿宋" w:cs="宋体"/>
          <w:sz w:val="28"/>
          <w:szCs w:val="28"/>
          <w:lang w:eastAsia="zh-CN"/>
        </w:rPr>
        <w:t>性</w:t>
      </w:r>
      <w:r>
        <w:rPr>
          <w:rFonts w:ascii="仿宋" w:hAnsi="仿宋" w:eastAsia="仿宋" w:cs="宋体"/>
          <w:sz w:val="28"/>
          <w:szCs w:val="28"/>
          <w:lang w:eastAsia="zh-CN"/>
        </w:rPr>
        <w:t>的或任何其他液体或气体不</w:t>
      </w:r>
      <w:r>
        <w:rPr>
          <w:rFonts w:hint="eastAsia" w:ascii="仿宋" w:hAnsi="仿宋" w:eastAsia="仿宋" w:cs="宋体"/>
          <w:sz w:val="28"/>
          <w:szCs w:val="28"/>
          <w:lang w:eastAsia="zh-CN"/>
        </w:rPr>
        <w:t>能</w:t>
      </w:r>
      <w:r>
        <w:rPr>
          <w:rFonts w:ascii="仿宋" w:hAnsi="仿宋" w:eastAsia="仿宋" w:cs="宋体"/>
          <w:sz w:val="28"/>
          <w:szCs w:val="28"/>
          <w:lang w:eastAsia="zh-CN"/>
        </w:rPr>
        <w:t>破坏周围的结构或相邻的系统、设备、组件或电线，</w:t>
      </w:r>
      <w:r>
        <w:rPr>
          <w:rFonts w:hint="eastAsia" w:ascii="仿宋" w:hAnsi="仿宋" w:eastAsia="仿宋" w:cs="宋体"/>
          <w:sz w:val="28"/>
          <w:szCs w:val="28"/>
          <w:lang w:eastAsia="zh-CN"/>
        </w:rPr>
        <w:t>这</w:t>
      </w:r>
      <w:r>
        <w:rPr>
          <w:rFonts w:ascii="仿宋" w:hAnsi="仿宋" w:eastAsia="仿宋" w:cs="宋体"/>
          <w:sz w:val="28"/>
          <w:szCs w:val="28"/>
          <w:lang w:eastAsia="zh-CN"/>
        </w:rPr>
        <w:t>将导致大</w:t>
      </w:r>
      <w:r>
        <w:rPr>
          <w:rFonts w:hint="eastAsia" w:ascii="仿宋" w:hAnsi="仿宋" w:eastAsia="仿宋" w:cs="宋体"/>
          <w:sz w:val="28"/>
          <w:szCs w:val="28"/>
          <w:lang w:eastAsia="zh-CN"/>
        </w:rPr>
        <w:t>的</w:t>
      </w:r>
      <w:r>
        <w:rPr>
          <w:rFonts w:ascii="仿宋" w:hAnsi="仿宋" w:eastAsia="仿宋" w:cs="宋体"/>
          <w:sz w:val="28"/>
          <w:szCs w:val="28"/>
          <w:lang w:eastAsia="zh-CN"/>
        </w:rPr>
        <w:t>或更严重的</w:t>
      </w:r>
      <w:r>
        <w:rPr>
          <w:rFonts w:hint="eastAsia" w:ascii="仿宋" w:hAnsi="仿宋" w:eastAsia="仿宋" w:cs="宋体"/>
          <w:sz w:val="28"/>
          <w:szCs w:val="28"/>
          <w:lang w:eastAsia="zh-CN"/>
        </w:rPr>
        <w:t>失效状态</w:t>
      </w:r>
      <w:r>
        <w:rPr>
          <w:rFonts w:ascii="仿宋" w:hAnsi="仿宋" w:eastAsia="仿宋" w:cs="宋体"/>
          <w:sz w:val="28"/>
          <w:szCs w:val="28"/>
          <w:lang w:eastAsia="zh-CN"/>
        </w:rPr>
        <w:t>。</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(6)</w:t>
      </w:r>
      <w:r>
        <w:rPr>
          <w:rFonts w:hint="eastAsia" w:ascii="仿宋" w:hAnsi="仿宋" w:eastAsia="仿宋" w:cs="宋体"/>
          <w:sz w:val="28"/>
          <w:szCs w:val="28"/>
          <w:lang w:eastAsia="zh-CN"/>
        </w:rPr>
        <w:t xml:space="preserve"> 有规定</w:t>
      </w:r>
      <w:r>
        <w:rPr>
          <w:rFonts w:ascii="仿宋" w:hAnsi="仿宋" w:eastAsia="仿宋" w:cs="宋体"/>
          <w:sz w:val="28"/>
          <w:szCs w:val="28"/>
          <w:lang w:eastAsia="zh-CN"/>
        </w:rPr>
        <w:t>来防止因</w:t>
      </w:r>
      <w:r>
        <w:rPr>
          <w:rFonts w:hint="eastAsia" w:ascii="仿宋" w:hAnsi="仿宋" w:eastAsia="仿宋" w:cs="宋体"/>
          <w:sz w:val="28"/>
          <w:szCs w:val="28"/>
          <w:lang w:eastAsia="zh-CN"/>
        </w:rPr>
        <w:t>电池</w:t>
      </w:r>
      <w:r>
        <w:rPr>
          <w:rFonts w:ascii="仿宋" w:hAnsi="仿宋" w:eastAsia="仿宋" w:cs="宋体"/>
          <w:sz w:val="28"/>
          <w:szCs w:val="28"/>
          <w:lang w:eastAsia="zh-CN"/>
        </w:rPr>
        <w:t>或</w:t>
      </w:r>
      <w:r>
        <w:rPr>
          <w:rFonts w:hint="eastAsia" w:ascii="仿宋" w:hAnsi="仿宋" w:eastAsia="仿宋" w:cs="宋体"/>
          <w:sz w:val="28"/>
          <w:szCs w:val="28"/>
          <w:lang w:eastAsia="zh-CN"/>
        </w:rPr>
        <w:t>单个电芯</w:t>
      </w:r>
      <w:r>
        <w:rPr>
          <w:rFonts w:ascii="仿宋" w:hAnsi="仿宋" w:eastAsia="仿宋" w:cs="宋体"/>
          <w:sz w:val="28"/>
          <w:szCs w:val="28"/>
          <w:lang w:eastAsia="zh-CN"/>
        </w:rPr>
        <w:t>的任何</w:t>
      </w:r>
      <w:r>
        <w:rPr>
          <w:rFonts w:hint="eastAsia" w:ascii="仿宋" w:hAnsi="仿宋" w:eastAsia="仿宋" w:cs="宋体"/>
          <w:sz w:val="28"/>
          <w:szCs w:val="28"/>
          <w:lang w:eastAsia="zh-CN"/>
        </w:rPr>
        <w:t>故障</w:t>
      </w:r>
      <w:r>
        <w:rPr>
          <w:rFonts w:ascii="仿宋" w:hAnsi="仿宋" w:eastAsia="仿宋" w:cs="宋体"/>
          <w:sz w:val="28"/>
          <w:szCs w:val="28"/>
          <w:lang w:eastAsia="zh-CN"/>
        </w:rPr>
        <w:t>而产生的最大热量对飞机结构或系统造成任何危</w:t>
      </w:r>
      <w:r>
        <w:rPr>
          <w:rFonts w:hint="eastAsia" w:ascii="仿宋" w:hAnsi="仿宋" w:eastAsia="仿宋" w:cs="宋体"/>
          <w:sz w:val="28"/>
          <w:szCs w:val="28"/>
          <w:lang w:eastAsia="zh-CN"/>
        </w:rPr>
        <w:t>害效应</w:t>
      </w:r>
      <w:r>
        <w:rPr>
          <w:rFonts w:ascii="仿宋" w:hAnsi="仿宋" w:eastAsia="仿宋" w:cs="宋体"/>
          <w:sz w:val="28"/>
          <w:szCs w:val="28"/>
          <w:lang w:eastAsia="zh-CN"/>
        </w:rPr>
        <w:t>。</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(7)</w:t>
      </w:r>
      <w:r>
        <w:rPr>
          <w:rFonts w:hint="eastAsia" w:ascii="仿宋" w:hAnsi="仿宋" w:eastAsia="仿宋" w:cs="宋体"/>
          <w:sz w:val="28"/>
          <w:szCs w:val="28"/>
          <w:lang w:eastAsia="zh-CN"/>
        </w:rPr>
        <w:t xml:space="preserve"> 具有</w:t>
      </w:r>
      <w:r>
        <w:rPr>
          <w:rFonts w:ascii="仿宋" w:hAnsi="仿宋" w:eastAsia="仿宋" w:cs="宋体"/>
          <w:sz w:val="28"/>
          <w:szCs w:val="28"/>
          <w:lang w:eastAsia="zh-CN"/>
        </w:rPr>
        <w:t>故障感知和警告系统提醒机组人员，如果其故障影响到飞机的安全运行。</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(8) 如果</w:t>
      </w:r>
      <w:r>
        <w:rPr>
          <w:rFonts w:hint="eastAsia" w:ascii="仿宋" w:hAnsi="仿宋" w:eastAsia="仿宋" w:cs="宋体"/>
          <w:sz w:val="28"/>
          <w:szCs w:val="28"/>
          <w:lang w:eastAsia="zh-CN"/>
        </w:rPr>
        <w:t>电池</w:t>
      </w:r>
      <w:r>
        <w:rPr>
          <w:rFonts w:ascii="仿宋" w:hAnsi="仿宋" w:eastAsia="仿宋" w:cs="宋体"/>
          <w:sz w:val="28"/>
          <w:szCs w:val="28"/>
          <w:lang w:eastAsia="zh-CN"/>
        </w:rPr>
        <w:t>功能是飞机安全运行</w:t>
      </w:r>
      <w:r>
        <w:rPr>
          <w:rFonts w:hint="eastAsia" w:ascii="仿宋" w:hAnsi="仿宋" w:eastAsia="仿宋" w:cs="宋体"/>
          <w:sz w:val="28"/>
          <w:szCs w:val="28"/>
          <w:lang w:eastAsia="zh-CN"/>
        </w:rPr>
        <w:t>所</w:t>
      </w:r>
      <w:r>
        <w:rPr>
          <w:rFonts w:ascii="仿宋" w:hAnsi="仿宋" w:eastAsia="仿宋" w:cs="宋体"/>
          <w:sz w:val="28"/>
          <w:szCs w:val="28"/>
          <w:lang w:eastAsia="zh-CN"/>
        </w:rPr>
        <w:t>需要</w:t>
      </w:r>
      <w:r>
        <w:rPr>
          <w:rFonts w:hint="eastAsia" w:ascii="仿宋" w:hAnsi="仿宋" w:eastAsia="仿宋" w:cs="宋体"/>
          <w:sz w:val="28"/>
          <w:szCs w:val="28"/>
          <w:lang w:eastAsia="zh-CN"/>
        </w:rPr>
        <w:t>的</w:t>
      </w:r>
      <w:r>
        <w:rPr>
          <w:rFonts w:ascii="仿宋" w:hAnsi="仿宋" w:eastAsia="仿宋" w:cs="宋体"/>
          <w:sz w:val="28"/>
          <w:szCs w:val="28"/>
          <w:lang w:eastAsia="zh-CN"/>
        </w:rPr>
        <w:t>，当它的电量状态低于可接受的水平时，</w:t>
      </w:r>
      <w:r>
        <w:rPr>
          <w:rFonts w:hint="eastAsia" w:ascii="仿宋" w:hAnsi="仿宋" w:eastAsia="仿宋" w:cs="宋体"/>
          <w:sz w:val="28"/>
          <w:szCs w:val="28"/>
          <w:lang w:eastAsia="zh-CN"/>
        </w:rPr>
        <w:t>应具有</w:t>
      </w:r>
      <w:r>
        <w:rPr>
          <w:rFonts w:ascii="仿宋" w:hAnsi="仿宋" w:eastAsia="仿宋" w:cs="宋体"/>
          <w:sz w:val="28"/>
          <w:szCs w:val="28"/>
          <w:lang w:eastAsia="zh-CN"/>
        </w:rPr>
        <w:t>监控和警告功能提醒机组人员。</w:t>
      </w: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5. 结论</w:t>
      </w:r>
    </w:p>
    <w:p>
      <w:pPr>
        <w:widowControl w:val="0"/>
        <w:spacing w:line="360" w:lineRule="auto"/>
        <w:ind w:left="1" w:leftChars="0" w:firstLine="565" w:firstLineChars="202"/>
        <w:rPr>
          <w:rFonts w:hint="eastAsia" w:ascii="仿宋" w:hAnsi="仿宋" w:eastAsia="仿宋" w:cs="宋体"/>
          <w:sz w:val="28"/>
          <w:szCs w:val="28"/>
          <w:lang w:eastAsia="zh-CN"/>
        </w:rPr>
      </w:pPr>
      <w:r>
        <w:rPr>
          <w:rFonts w:ascii="仿宋" w:hAnsi="仿宋" w:eastAsia="仿宋" w:cs="宋体"/>
          <w:sz w:val="28"/>
          <w:szCs w:val="28"/>
          <w:lang w:eastAsia="zh-CN"/>
        </w:rPr>
        <w:t>颁发专用条件《H160-B 直升机不可充电锂电池》。</w:t>
      </w:r>
    </w:p>
    <w:p>
      <w:pPr>
        <w:widowControl w:val="0"/>
        <w:spacing w:line="360" w:lineRule="auto"/>
        <w:ind w:left="1" w:hanging="3"/>
        <w:rPr>
          <w:rFonts w:hint="eastAsia" w:ascii="仿宋" w:hAnsi="仿宋" w:eastAsia="仿宋" w:cs="宋体"/>
          <w:sz w:val="28"/>
          <w:szCs w:val="28"/>
          <w:lang w:eastAsia="zh-CN"/>
        </w:rPr>
      </w:pPr>
    </w:p>
    <w:p>
      <w:pPr>
        <w:widowControl w:val="0"/>
        <w:spacing w:line="360" w:lineRule="auto"/>
        <w:ind w:left="1" w:hanging="3"/>
        <w:rPr>
          <w:rFonts w:hint="eastAsia" w:ascii="仿宋" w:hAnsi="仿宋" w:eastAsia="仿宋" w:cs="宋体"/>
          <w:sz w:val="28"/>
          <w:szCs w:val="28"/>
          <w:lang w:eastAsia="zh-CN"/>
        </w:rPr>
      </w:pPr>
      <w:r>
        <w:rPr>
          <w:rFonts w:ascii="仿宋" w:hAnsi="仿宋" w:eastAsia="仿宋" w:cs="宋体"/>
          <w:sz w:val="28"/>
          <w:szCs w:val="28"/>
          <w:lang w:eastAsia="zh-CN"/>
        </w:rPr>
        <w:t>附：《专用条件/豁免反馈意见表》（表-21-145</w:t>
      </w:r>
      <w:r>
        <w:rPr>
          <w:rFonts w:hint="eastAsia" w:ascii="仿宋" w:hAnsi="仿宋" w:eastAsia="仿宋" w:cs="宋体"/>
          <w:sz w:val="28"/>
          <w:szCs w:val="28"/>
          <w:lang w:eastAsia="zh-CN"/>
        </w:rPr>
        <w:t>-2023</w:t>
      </w:r>
      <w:r>
        <w:rPr>
          <w:rFonts w:ascii="仿宋" w:hAnsi="仿宋" w:eastAsia="仿宋" w:cs="宋体"/>
          <w:sz w:val="28"/>
          <w:szCs w:val="28"/>
          <w:lang w:eastAsia="zh-CN"/>
        </w:rPr>
        <w:t>）</w:t>
      </w:r>
    </w:p>
    <w:p>
      <w:pPr>
        <w:suppressAutoHyphens w:val="0"/>
        <w:overflowPunct/>
        <w:autoSpaceDE/>
        <w:autoSpaceDN/>
        <w:adjustRightInd/>
        <w:spacing w:line="240" w:lineRule="auto"/>
        <w:ind w:left="0" w:leftChars="0" w:firstLine="0" w:firstLineChars="0"/>
        <w:textAlignment w:val="auto"/>
        <w:outlineLvl w:val="9"/>
        <w:rPr>
          <w:rFonts w:hint="eastAsia" w:ascii="宋体" w:hAnsi="宋体" w:eastAsia="宋体" w:cs="宋体"/>
          <w:sz w:val="22"/>
          <w:szCs w:val="22"/>
          <w:lang w:eastAsia="zh-CN"/>
        </w:rPr>
      </w:pPr>
      <w:r>
        <w:rPr>
          <w:rFonts w:hint="eastAsia" w:ascii="宋体" w:hAnsi="宋体" w:eastAsia="宋体" w:cs="宋体"/>
          <w:sz w:val="22"/>
          <w:szCs w:val="22"/>
          <w:lang w:eastAsia="zh-CN"/>
        </w:rPr>
        <w:br w:type="page"/>
      </w:r>
    </w:p>
    <w:p>
      <w:pPr>
        <w:ind w:left="1" w:hanging="3"/>
        <w:jc w:val="center"/>
        <w:rPr>
          <w:rFonts w:ascii="仿宋_GB2312" w:eastAsia="仿宋_GB2312" w:cs="仿宋_GB2312"/>
          <w:lang w:eastAsia="zh-CN"/>
        </w:rPr>
      </w:pPr>
      <w:bookmarkStart w:id="1" w:name="_Hlk188558281"/>
      <w:r>
        <w:rPr>
          <w:rFonts w:hint="eastAsia" w:ascii="仿宋_GB2312" w:eastAsia="仿宋_GB2312" w:cs="仿宋_GB2312"/>
          <w:sz w:val="28"/>
          <w:szCs w:val="28"/>
          <w:lang w:eastAsia="zh-CN"/>
        </w:rPr>
        <w:t>专用条件</w:t>
      </w:r>
      <w:r>
        <w:rPr>
          <w:rFonts w:ascii="仿宋_GB2312" w:hAnsi="仿宋_GB2312" w:eastAsia="仿宋_GB2312" w:cs="仿宋_GB2312"/>
          <w:sz w:val="28"/>
          <w:szCs w:val="28"/>
          <w:lang w:eastAsia="zh-CN"/>
        </w:rPr>
        <w:t>/</w:t>
      </w:r>
      <w:r>
        <w:rPr>
          <w:rFonts w:hint="eastAsia" w:ascii="仿宋_GB2312" w:eastAsia="仿宋_GB2312" w:cs="仿宋_GB2312"/>
          <w:sz w:val="28"/>
          <w:szCs w:val="28"/>
          <w:lang w:eastAsia="zh-CN"/>
        </w:rPr>
        <w:t>豁免反馈意见表</w:t>
      </w:r>
    </w:p>
    <w:tbl>
      <w:tblPr>
        <w:tblStyle w:val="2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012"/>
        <w:gridCol w:w="344"/>
        <w:gridCol w:w="7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 w:type="dxa"/>
          </w:tcPr>
          <w:p>
            <w:pPr>
              <w:spacing w:line="600" w:lineRule="exact"/>
              <w:ind w:left="1" w:hanging="3"/>
            </w:pPr>
            <w:r>
              <w:rPr>
                <w:rFonts w:hint="eastAsia" w:ascii="仿宋_GB2312" w:eastAsia="仿宋_GB2312" w:cs="仿宋_GB2312"/>
                <w:sz w:val="28"/>
                <w:szCs w:val="28"/>
              </w:rPr>
              <w:t>类别</w:t>
            </w:r>
          </w:p>
        </w:tc>
        <w:tc>
          <w:tcPr>
            <w:tcW w:w="8412" w:type="dxa"/>
            <w:gridSpan w:val="3"/>
          </w:tcPr>
          <w:p>
            <w:pPr>
              <w:spacing w:line="600" w:lineRule="exact"/>
              <w:ind w:left="-2" w:firstLine="1680" w:firstLineChars="600"/>
              <w:rPr>
                <w:rFonts w:hint="eastAsia" w:ascii="仿宋_GB2312" w:hAnsi="仿宋_GB2312" w:eastAsia="仿宋_GB2312" w:cs="仿宋_GB2312"/>
                <w:sz w:val="28"/>
                <w:szCs w:val="28"/>
              </w:rPr>
            </w:pPr>
            <w:r>
              <w:rPr>
                <w:rFonts w:hint="eastAsia" w:ascii="仿宋_GB2312" w:eastAsia="仿宋_GB2312" w:cs="仿宋_GB2312"/>
                <w:sz w:val="28"/>
                <w:szCs w:val="28"/>
              </w:rPr>
              <w:t>□专用条件  □豁免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gridSpan w:val="3"/>
          </w:tcPr>
          <w:p>
            <w:pPr>
              <w:spacing w:line="600" w:lineRule="exact"/>
              <w:ind w:left="1" w:hanging="3"/>
            </w:pPr>
            <w:r>
              <w:rPr>
                <w:rFonts w:hint="eastAsia" w:ascii="仿宋_GB2312" w:eastAsia="仿宋_GB2312" w:cs="仿宋_GB2312"/>
                <w:sz w:val="28"/>
                <w:szCs w:val="28"/>
              </w:rPr>
              <w:t>征求意见稿编号</w:t>
            </w:r>
          </w:p>
        </w:tc>
        <w:tc>
          <w:tcPr>
            <w:tcW w:w="7056" w:type="dxa"/>
          </w:tcPr>
          <w:p>
            <w:pPr>
              <w:spacing w:line="600" w:lineRule="exact"/>
              <w:ind w:left="1" w:hanging="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2"/>
          </w:tcPr>
          <w:p>
            <w:pPr>
              <w:spacing w:line="600" w:lineRule="exact"/>
              <w:ind w:left="1" w:hanging="3"/>
            </w:pPr>
            <w:r>
              <w:rPr>
                <w:rFonts w:hint="eastAsia" w:ascii="仿宋_GB2312" w:eastAsia="仿宋_GB2312" w:cs="仿宋_GB2312"/>
                <w:sz w:val="28"/>
                <w:szCs w:val="28"/>
              </w:rPr>
              <w:t>航空产品型号</w:t>
            </w:r>
          </w:p>
        </w:tc>
        <w:tc>
          <w:tcPr>
            <w:tcW w:w="7400" w:type="dxa"/>
            <w:gridSpan w:val="2"/>
          </w:tcPr>
          <w:p>
            <w:pPr>
              <w:spacing w:line="600" w:lineRule="exact"/>
              <w:ind w:left="1" w:hanging="3"/>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1" w:type="dxa"/>
            <w:gridSpan w:val="4"/>
          </w:tcPr>
          <w:p>
            <w:pPr>
              <w:spacing w:line="600" w:lineRule="exact"/>
              <w:ind w:left="1" w:hanging="3"/>
              <w:rPr>
                <w:rFonts w:ascii="仿宋_GB2312" w:eastAsia="仿宋_GB2312" w:cs="仿宋_GB2312"/>
                <w:sz w:val="28"/>
                <w:szCs w:val="28"/>
                <w:lang w:eastAsia="zh-CN"/>
              </w:rPr>
            </w:pPr>
            <w:r>
              <w:rPr>
                <w:rFonts w:hint="eastAsia" w:ascii="仿宋_GB2312" w:eastAsia="仿宋_GB2312" w:cs="仿宋_GB2312"/>
                <w:sz w:val="28"/>
                <w:szCs w:val="28"/>
                <w:lang w:eastAsia="zh-CN"/>
              </w:rPr>
              <w:t>相关的适航规章和</w:t>
            </w:r>
            <w:r>
              <w:rPr>
                <w:rFonts w:ascii="仿宋_GB2312" w:hAnsi="仿宋_GB2312" w:eastAsia="仿宋_GB2312" w:cs="仿宋_GB2312"/>
                <w:sz w:val="28"/>
                <w:szCs w:val="28"/>
                <w:lang w:eastAsia="zh-CN"/>
              </w:rPr>
              <w:t>/</w:t>
            </w:r>
            <w:r>
              <w:rPr>
                <w:rFonts w:hint="eastAsia" w:ascii="仿宋_GB2312" w:eastAsia="仿宋_GB2312" w:cs="仿宋_GB2312"/>
                <w:sz w:val="28"/>
                <w:szCs w:val="28"/>
                <w:lang w:eastAsia="zh-CN"/>
              </w:rPr>
              <w:t>或环保要求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hint="eastAsia" w:ascii="仿宋_GB2312" w:hAnsi="仿宋_GB2312" w:eastAsia="仿宋_GB2312" w:cs="仿宋_GB2312"/>
                <w:sz w:val="28"/>
                <w:szCs w:val="28"/>
                <w:lang w:eastAsia="zh-CN"/>
              </w:rPr>
            </w:pPr>
          </w:p>
          <w:p>
            <w:pPr>
              <w:spacing w:line="600" w:lineRule="exact"/>
              <w:ind w:left="1" w:hanging="3"/>
              <w:rPr>
                <w:rFonts w:hint="eastAsia" w:ascii="仿宋_GB2312" w:hAnsi="仿宋_GB2312" w:eastAsia="仿宋_GB2312" w:cs="仿宋_GB2312"/>
                <w:sz w:val="28"/>
                <w:szCs w:val="28"/>
                <w:lang w:eastAsia="zh-CN"/>
              </w:rPr>
            </w:pPr>
          </w:p>
          <w:p>
            <w:pPr>
              <w:spacing w:line="600" w:lineRule="exact"/>
              <w:ind w:left="0" w:hanging="2"/>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ascii="仿宋_GB2312" w:eastAsia="仿宋_GB2312" w:cs="仿宋_GB2312"/>
                <w:sz w:val="28"/>
                <w:szCs w:val="28"/>
              </w:rPr>
            </w:pPr>
            <w:r>
              <w:rPr>
                <w:rFonts w:hint="eastAsia" w:ascii="仿宋_GB2312" w:eastAsia="仿宋_GB2312" w:cs="仿宋_GB2312"/>
                <w:sz w:val="28"/>
                <w:szCs w:val="28"/>
              </w:rPr>
              <w:t>意见或建议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1" w:type="dxa"/>
            <w:gridSpan w:val="4"/>
          </w:tcPr>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1" w:hanging="3"/>
              <w:rPr>
                <w:rFonts w:ascii="仿宋_GB2312" w:eastAsia="仿宋_GB2312" w:cs="仿宋_GB2312"/>
                <w:sz w:val="28"/>
                <w:szCs w:val="28"/>
              </w:rPr>
            </w:pPr>
          </w:p>
          <w:p>
            <w:pPr>
              <w:spacing w:line="600" w:lineRule="exact"/>
              <w:ind w:left="0" w:hanging="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351" w:type="dxa"/>
            <w:gridSpan w:val="4"/>
          </w:tcPr>
          <w:p>
            <w:pPr>
              <w:spacing w:line="600" w:lineRule="exact"/>
              <w:ind w:left="1" w:hanging="3"/>
              <w:rPr>
                <w:rFonts w:ascii="仿宋_GB2312" w:eastAsia="仿宋_GB2312" w:cs="仿宋_GB2312"/>
                <w:sz w:val="28"/>
                <w:szCs w:val="28"/>
                <w:lang w:eastAsia="zh-CN"/>
              </w:rPr>
            </w:pPr>
            <w:r>
              <w:rPr>
                <w:rFonts w:hint="eastAsia" w:ascii="仿宋_GB2312" w:eastAsia="仿宋_GB2312" w:cs="仿宋_GB2312"/>
                <w:sz w:val="28"/>
                <w:szCs w:val="28"/>
                <w:lang w:eastAsia="zh-CN"/>
              </w:rPr>
              <w:t>姓名：</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（印刷体）</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（签名）</w:t>
            </w:r>
          </w:p>
          <w:p>
            <w:pPr>
              <w:spacing w:line="600" w:lineRule="exact"/>
              <w:ind w:left="1" w:hanging="3"/>
              <w:rPr>
                <w:rFonts w:ascii="仿宋_GB2312" w:eastAsia="仿宋_GB2312" w:cs="仿宋_GB2312"/>
                <w:sz w:val="28"/>
                <w:szCs w:val="28"/>
                <w:u w:val="single"/>
                <w:lang w:eastAsia="zh-CN"/>
              </w:rPr>
            </w:pPr>
            <w:r>
              <w:rPr>
                <w:rFonts w:hint="eastAsia" w:ascii="仿宋_GB2312" w:eastAsia="仿宋_GB2312" w:cs="仿宋_GB2312"/>
                <w:sz w:val="28"/>
                <w:szCs w:val="28"/>
                <w:lang w:eastAsia="zh-CN"/>
              </w:rPr>
              <w:t>电话：</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传真：</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u w:val="single"/>
                <w:lang w:eastAsia="zh-CN"/>
              </w:rPr>
              <w:t xml:space="preserve"> </w:t>
            </w:r>
            <w:r>
              <w:rPr>
                <w:rFonts w:ascii="仿宋_GB2312" w:eastAsia="仿宋_GB2312" w:cs="仿宋_GB2312"/>
                <w:sz w:val="28"/>
                <w:szCs w:val="28"/>
                <w:u w:val="single"/>
                <w:lang w:eastAsia="zh-CN"/>
              </w:rPr>
              <w:t xml:space="preserve">     </w:t>
            </w:r>
            <w:r>
              <w:rPr>
                <w:rFonts w:hint="eastAsia" w:ascii="仿宋_GB2312" w:eastAsia="仿宋_GB2312" w:cs="仿宋_GB2312"/>
                <w:sz w:val="28"/>
                <w:szCs w:val="28"/>
                <w:lang w:eastAsia="zh-CN"/>
              </w:rPr>
              <w:t>电子邮箱：</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p>
            <w:pPr>
              <w:spacing w:line="600" w:lineRule="exact"/>
              <w:ind w:left="1" w:hanging="3"/>
              <w:rPr>
                <w:rFonts w:ascii="仿宋_GB2312" w:eastAsia="仿宋_GB2312" w:cs="仿宋_GB2312"/>
                <w:sz w:val="28"/>
                <w:szCs w:val="28"/>
                <w:u w:val="single"/>
              </w:rPr>
            </w:pPr>
            <w:r>
              <w:rPr>
                <w:rFonts w:hint="eastAsia" w:ascii="仿宋_GB2312" w:eastAsia="仿宋_GB2312" w:cs="仿宋_GB2312"/>
                <w:sz w:val="28"/>
                <w:szCs w:val="28"/>
              </w:rPr>
              <w:t>通信地址：</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p>
            <w:pPr>
              <w:spacing w:line="600" w:lineRule="exact"/>
              <w:ind w:left="1" w:hanging="3"/>
            </w:pPr>
            <w:r>
              <w:rPr>
                <w:rFonts w:hint="eastAsia" w:ascii="仿宋_GB2312" w:eastAsia="仿宋_GB2312" w:cs="仿宋_GB2312"/>
                <w:sz w:val="28"/>
                <w:szCs w:val="28"/>
              </w:rPr>
              <w:t>日期：</w:t>
            </w:r>
            <w:r>
              <w:rPr>
                <w:rFonts w:hint="eastAsia" w:ascii="仿宋_GB2312" w:eastAsia="仿宋_GB2312" w:cs="仿宋_GB2312"/>
                <w:sz w:val="28"/>
                <w:szCs w:val="28"/>
                <w:u w:val="single"/>
                <w:lang w:eastAsia="zh-CN"/>
              </w:rPr>
              <w:t xml:space="preserve">             </w:t>
            </w:r>
            <w:r>
              <w:rPr>
                <w:rFonts w:hint="eastAsia" w:ascii="仿宋_GB2312" w:eastAsia="仿宋_GB2312" w:cs="仿宋_GB2312"/>
                <w:sz w:val="10"/>
                <w:szCs w:val="10"/>
                <w:u w:val="single"/>
                <w:lang w:eastAsia="zh-CN"/>
              </w:rPr>
              <w:t>.</w:t>
            </w:r>
          </w:p>
        </w:tc>
      </w:tr>
    </w:tbl>
    <w:p>
      <w:pPr>
        <w:ind w:left="0" w:hanging="2"/>
        <w:rPr>
          <w:rFonts w:hint="eastAsia" w:ascii="宋体" w:hAnsi="宋体" w:eastAsia="宋体" w:cs="宋体"/>
          <w:sz w:val="22"/>
          <w:szCs w:val="22"/>
          <w:lang w:eastAsia="zh-CN"/>
        </w:rPr>
      </w:pPr>
      <w:r>
        <w:rPr>
          <w:rFonts w:hint="eastAsia"/>
        </w:rPr>
        <w:t>表-21-145-2023</w:t>
      </w:r>
      <w:bookmarkEnd w:id="1"/>
    </w:p>
    <w:sectPr>
      <w:headerReference r:id="rId7" w:type="first"/>
      <w:footerReference r:id="rId10" w:type="first"/>
      <w:headerReference r:id="rId5" w:type="default"/>
      <w:footerReference r:id="rId8" w:type="default"/>
      <w:headerReference r:id="rId6" w:type="even"/>
      <w:footerReference r:id="rId9" w:type="even"/>
      <w:pgSz w:w="12240" w:h="15840"/>
      <w:pgMar w:top="1418" w:right="1418" w:bottom="1418" w:left="1418" w:header="720" w:footer="1007" w:gutter="0"/>
      <w:pgNumType w:start="1"/>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2" w:hanging="2"/>
      </w:pPr>
      <w:r>
        <w:separator/>
      </w:r>
    </w:p>
  </w:endnote>
  <w:endnote w:type="continuationSeparator" w:id="1">
    <w:p>
      <w:pPr>
        <w:spacing w:line="240" w:lineRule="auto"/>
        <w:ind w:left="-2"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ms Rmn">
    <w:altName w:val="Times New Roman"/>
    <w:panose1 w:val="02020603040505020304"/>
    <w:charset w:val="00"/>
    <w:family w:val="roman"/>
    <w:pitch w:val="default"/>
    <w:sig w:usb0="00000000" w:usb1="00000000" w:usb2="00000000" w:usb3="00000000" w:csb0="00000001" w:csb1="00000000"/>
  </w:font>
  <w:font w:name="等线 Light">
    <w:altName w:val="华文中宋"/>
    <w:panose1 w:val="02010600030101010101"/>
    <w:charset w:val="86"/>
    <w:family w:val="auto"/>
    <w:pitch w:val="default"/>
    <w:sig w:usb0="00000000" w:usb1="00000000" w:usb2="00000016" w:usb3="00000000" w:csb0="0004000F" w:csb1="00000000"/>
  </w:font>
  <w:font w:name="Georgia">
    <w:altName w:val="FreeSerif"/>
    <w:panose1 w:val="02040502050405020303"/>
    <w:charset w:val="00"/>
    <w:family w:val="roman"/>
    <w:pitch w:val="default"/>
    <w:sig w:usb0="00000000" w:usb1="00000000" w:usb2="00000000" w:usb3="00000000" w:csb0="2000009F" w:csb1="00000000"/>
  </w:font>
  <w:font w:name="Tahoma">
    <w:altName w:val="DejaVu Sans"/>
    <w:panose1 w:val="020B0604030504040204"/>
    <w:charset w:val="00"/>
    <w:family w:val="swiss"/>
    <w:pitch w:val="default"/>
    <w:sig w:usb0="00000000" w:usb1="00000000"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hanging="2"/>
      <w:jc w:val="right"/>
      <w:rPr>
        <w:rFonts w:ascii="Times New Roman" w:hAnsi="Times New Roman"/>
        <w:color w:val="000000"/>
      </w:rPr>
    </w:pPr>
    <w:r>
      <w:rPr>
        <w:rFonts w:ascii="Times New Roman" w:hAnsi="Times New Roman"/>
        <w:color w:val="000000"/>
      </w:rPr>
      <w:fldChar w:fldCharType="begin"/>
    </w:r>
    <w:r>
      <w:rPr>
        <w:rFonts w:ascii="Times New Roman" w:hAnsi="Times New Roman" w:eastAsia="Times New Roman"/>
        <w:color w:val="000000"/>
      </w:rPr>
      <w:instrText xml:space="preserve">PAGE</w:instrText>
    </w:r>
    <w:r>
      <w:rPr>
        <w:rFonts w:ascii="Times New Roman" w:hAnsi="Times New Roman"/>
        <w:color w:val="000000"/>
      </w:rPr>
      <w:fldChar w:fldCharType="end"/>
    </w:r>
  </w:p>
  <w:p>
    <w:pPr>
      <w:pBdr>
        <w:top w:val="none" w:color="auto" w:sz="0" w:space="0"/>
        <w:left w:val="none" w:color="auto" w:sz="0" w:space="0"/>
        <w:bottom w:val="none" w:color="auto" w:sz="0" w:space="0"/>
        <w:right w:val="none" w:color="auto" w:sz="0" w:space="0"/>
        <w:between w:val="none" w:color="auto" w:sz="0" w:space="0"/>
      </w:pBdr>
      <w:tabs>
        <w:tab w:val="center" w:pos="4320"/>
        <w:tab w:val="right" w:pos="8640"/>
      </w:tabs>
      <w:spacing w:line="240" w:lineRule="auto"/>
      <w:ind w:left="0" w:right="360" w:hanging="2"/>
      <w:rPr>
        <w:rFonts w:ascii="Times New Roman" w:hAnsi="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left="-2" w:hanging="2"/>
      </w:pPr>
      <w:r>
        <w:separator/>
      </w:r>
    </w:p>
  </w:footnote>
  <w:footnote w:type="continuationSeparator" w:id="1">
    <w:p>
      <w:pPr>
        <w:spacing w:line="240" w:lineRule="auto"/>
        <w:ind w:left="-2"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44"/>
    <w:rsid w:val="00090D99"/>
    <w:rsid w:val="002F1960"/>
    <w:rsid w:val="00410702"/>
    <w:rsid w:val="00506FBF"/>
    <w:rsid w:val="00537AD1"/>
    <w:rsid w:val="00611C32"/>
    <w:rsid w:val="00615F0C"/>
    <w:rsid w:val="00673BBE"/>
    <w:rsid w:val="006C38B0"/>
    <w:rsid w:val="00840F88"/>
    <w:rsid w:val="008D2E44"/>
    <w:rsid w:val="0090597A"/>
    <w:rsid w:val="00A333D9"/>
    <w:rsid w:val="00A74D49"/>
    <w:rsid w:val="00AA74ED"/>
    <w:rsid w:val="00B066E5"/>
    <w:rsid w:val="00B337C7"/>
    <w:rsid w:val="00BD1D7C"/>
    <w:rsid w:val="00D519A4"/>
    <w:rsid w:val="00D866EA"/>
    <w:rsid w:val="00EE746E"/>
    <w:rsid w:val="00FA6AAB"/>
    <w:rsid w:val="246E0586"/>
    <w:rsid w:val="F9FF5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overflowPunct w:val="0"/>
      <w:autoSpaceDE w:val="0"/>
      <w:autoSpaceDN w:val="0"/>
      <w:adjustRightInd w:val="0"/>
      <w:spacing w:line="1" w:lineRule="atLeast"/>
      <w:ind w:left="-1" w:leftChars="-1" w:hanging="1" w:hangingChars="1"/>
      <w:textAlignment w:val="baseline"/>
      <w:outlineLvl w:val="0"/>
    </w:pPr>
    <w:rPr>
      <w:rFonts w:ascii="Tms Rmn" w:hAnsi="Tms Rmn" w:cs="Times New Roman" w:eastAsiaTheme="minorEastAsia"/>
      <w:position w:val="-1"/>
      <w:lang w:val="en-US" w:eastAsia="en-US" w:bidi="ar-SA"/>
    </w:rPr>
  </w:style>
  <w:style w:type="paragraph" w:styleId="2">
    <w:name w:val="heading 1"/>
    <w:basedOn w:val="1"/>
    <w:next w:val="1"/>
    <w:qFormat/>
    <w:uiPriority w:val="0"/>
    <w:pPr>
      <w:keepNext/>
      <w:jc w:val="center"/>
    </w:pPr>
    <w:rPr>
      <w:rFonts w:ascii="Times New Roman" w:hAnsi="Times New Roman"/>
      <w:b/>
      <w:sz w:val="24"/>
    </w:rPr>
  </w:style>
  <w:style w:type="paragraph" w:styleId="3">
    <w:name w:val="heading 2"/>
    <w:basedOn w:val="1"/>
    <w:next w:val="1"/>
    <w:qFormat/>
    <w:uiPriority w:val="0"/>
    <w:pPr>
      <w:keepNext/>
      <w:keepLines/>
      <w:spacing w:before="260" w:after="260" w:line="416" w:lineRule="auto"/>
      <w:outlineLvl w:val="1"/>
    </w:pPr>
    <w:rPr>
      <w:rFonts w:ascii="等线 Light" w:hAnsi="等线 Light" w:eastAsia="等线 Light"/>
      <w:b/>
      <w:bCs/>
      <w:sz w:val="32"/>
      <w:szCs w:val="32"/>
    </w:rPr>
  </w:style>
  <w:style w:type="paragraph" w:styleId="4">
    <w:name w:val="heading 3"/>
    <w:basedOn w:val="1"/>
    <w:next w:val="1"/>
    <w:qFormat/>
    <w:uiPriority w:val="0"/>
    <w:pPr>
      <w:keepNext/>
      <w:keepLines/>
      <w:spacing w:before="280" w:after="80"/>
      <w:outlineLvl w:val="2"/>
    </w:pPr>
    <w:rPr>
      <w:b/>
      <w:sz w:val="28"/>
      <w:szCs w:val="28"/>
    </w:rPr>
  </w:style>
  <w:style w:type="paragraph" w:styleId="5">
    <w:name w:val="heading 4"/>
    <w:basedOn w:val="1"/>
    <w:next w:val="1"/>
    <w:qFormat/>
    <w:uiPriority w:val="0"/>
    <w:pPr>
      <w:keepNext/>
      <w:spacing w:before="240" w:after="60"/>
      <w:outlineLvl w:val="3"/>
    </w:pPr>
    <w:rPr>
      <w:rFonts w:ascii="Times New Roman" w:hAnsi="Times New Roman"/>
      <w:b/>
      <w:sz w:val="28"/>
    </w:rPr>
  </w:style>
  <w:style w:type="paragraph" w:styleId="6">
    <w:name w:val="heading 5"/>
    <w:basedOn w:val="1"/>
    <w:next w:val="1"/>
    <w:qFormat/>
    <w:uiPriority w:val="0"/>
    <w:pPr>
      <w:keepNext/>
      <w:jc w:val="center"/>
      <w:outlineLvl w:val="4"/>
    </w:pPr>
    <w:rPr>
      <w:rFonts w:ascii="Times New Roman" w:hAnsi="Times New Roman"/>
      <w:i/>
    </w:rPr>
  </w:style>
  <w:style w:type="paragraph" w:styleId="7">
    <w:name w:val="heading 6"/>
    <w:basedOn w:val="1"/>
    <w:next w:val="1"/>
    <w:qFormat/>
    <w:uiPriority w:val="0"/>
    <w:pPr>
      <w:keepNext/>
      <w:keepLines/>
      <w:spacing w:before="200" w:after="40"/>
      <w:outlineLvl w:val="5"/>
    </w:pPr>
    <w:rPr>
      <w:b/>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qFormat/>
    <w:uiPriority w:val="0"/>
  </w:style>
  <w:style w:type="paragraph" w:styleId="9">
    <w:name w:val="Body Text 3"/>
    <w:basedOn w:val="1"/>
    <w:qFormat/>
    <w:uiPriority w:val="0"/>
    <w:pPr>
      <w:widowControl w:val="0"/>
      <w:tabs>
        <w:tab w:val="left" w:pos="0"/>
        <w:tab w:val="left" w:pos="1142"/>
        <w:tab w:val="left" w:pos="2164"/>
      </w:tabs>
      <w:overflowPunct/>
      <w:spacing w:line="331" w:lineRule="atLeast"/>
      <w:ind w:right="28"/>
      <w:textAlignment w:val="auto"/>
    </w:pPr>
    <w:rPr>
      <w:rFonts w:ascii="Times New Roman" w:hAnsi="Times New Roman"/>
      <w:sz w:val="24"/>
      <w:szCs w:val="22"/>
    </w:rPr>
  </w:style>
  <w:style w:type="paragraph" w:styleId="10">
    <w:name w:val="Body Text"/>
    <w:basedOn w:val="1"/>
    <w:qFormat/>
    <w:uiPriority w:val="0"/>
    <w:pPr>
      <w:spacing w:after="120"/>
    </w:pPr>
  </w:style>
  <w:style w:type="paragraph" w:styleId="11">
    <w:name w:val="Body Text Indent"/>
    <w:basedOn w:val="1"/>
    <w:qFormat/>
    <w:uiPriority w:val="0"/>
    <w:pPr>
      <w:spacing w:after="120"/>
      <w:ind w:left="360"/>
    </w:pPr>
  </w:style>
  <w:style w:type="paragraph" w:styleId="12">
    <w:name w:val="Body Text Indent 2"/>
    <w:basedOn w:val="1"/>
    <w:qFormat/>
    <w:uiPriority w:val="0"/>
    <w:pPr>
      <w:spacing w:after="120" w:line="480" w:lineRule="auto"/>
      <w:ind w:left="360"/>
    </w:pPr>
  </w:style>
  <w:style w:type="paragraph" w:styleId="13">
    <w:name w:val="Balloon Text"/>
    <w:basedOn w:val="1"/>
    <w:qFormat/>
    <w:uiPriority w:val="0"/>
    <w:rPr>
      <w:sz w:val="18"/>
      <w:szCs w:val="18"/>
    </w:rPr>
  </w:style>
  <w:style w:type="paragraph" w:styleId="14">
    <w:name w:val="footer"/>
    <w:basedOn w:val="1"/>
    <w:qFormat/>
    <w:uiPriority w:val="0"/>
    <w:pPr>
      <w:tabs>
        <w:tab w:val="center" w:pos="4320"/>
        <w:tab w:val="right" w:pos="8640"/>
      </w:tabs>
    </w:pPr>
  </w:style>
  <w:style w:type="paragraph" w:styleId="15">
    <w:name w:val="header"/>
    <w:basedOn w:val="1"/>
    <w:qFormat/>
    <w:uiPriority w:val="0"/>
    <w:pPr>
      <w:tabs>
        <w:tab w:val="center" w:pos="4320"/>
        <w:tab w:val="right" w:pos="8640"/>
      </w:tabs>
    </w:pPr>
  </w:style>
  <w:style w:type="paragraph" w:styleId="16">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7">
    <w:name w:val="Normal (Web)"/>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8">
    <w:name w:val="Title"/>
    <w:basedOn w:val="1"/>
    <w:next w:val="1"/>
    <w:qFormat/>
    <w:uiPriority w:val="0"/>
    <w:pPr>
      <w:keepNext/>
      <w:keepLines/>
      <w:spacing w:before="480" w:after="120"/>
    </w:pPr>
    <w:rPr>
      <w:b/>
      <w:sz w:val="72"/>
      <w:szCs w:val="72"/>
    </w:rPr>
  </w:style>
  <w:style w:type="paragraph" w:styleId="19">
    <w:name w:val="annotation subject"/>
    <w:basedOn w:val="8"/>
    <w:next w:val="8"/>
    <w:qFormat/>
    <w:uiPriority w:val="0"/>
    <w:rPr>
      <w:b/>
      <w:bCs/>
    </w:rPr>
  </w:style>
  <w:style w:type="table" w:styleId="21">
    <w:name w:val="Table Grid"/>
    <w:basedOn w:val="20"/>
    <w:qFormat/>
    <w:uiPriority w:val="59"/>
    <w:pPr>
      <w:suppressAutoHyphens/>
      <w:spacing w:line="1" w:lineRule="atLeast"/>
      <w:ind w:left="-1" w:leftChars="-1" w:hanging="1" w:hangingChars="1"/>
      <w:textAlignment w:val="top"/>
      <w:outlineLvl w:val="0"/>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rPr>
      <w:w w:val="100"/>
      <w:position w:val="-1"/>
      <w:vertAlign w:val="baseline"/>
      <w:cs w:val="0"/>
    </w:rPr>
  </w:style>
  <w:style w:type="character" w:styleId="24">
    <w:name w:val="annotation reference"/>
    <w:qFormat/>
    <w:uiPriority w:val="0"/>
    <w:rPr>
      <w:w w:val="100"/>
      <w:position w:val="-1"/>
      <w:sz w:val="21"/>
      <w:szCs w:val="21"/>
      <w:vertAlign w:val="baseline"/>
      <w:cs w:val="0"/>
    </w:rPr>
  </w:style>
  <w:style w:type="table" w:customStyle="1" w:styleId="25">
    <w:name w:val="Table Normal"/>
    <w:qFormat/>
    <w:uiPriority w:val="0"/>
    <w:tblPr>
      <w:tblCellMar>
        <w:top w:w="0" w:type="dxa"/>
        <w:left w:w="0" w:type="dxa"/>
        <w:bottom w:w="0" w:type="dxa"/>
        <w:right w:w="0" w:type="dxa"/>
      </w:tblCellMar>
    </w:tblPr>
  </w:style>
  <w:style w:type="paragraph" w:customStyle="1" w:styleId="26">
    <w:name w:val="Normln"/>
    <w:qFormat/>
    <w:uiPriority w:val="0"/>
    <w:pPr>
      <w:suppressAutoHyphens/>
      <w:spacing w:line="1" w:lineRule="atLeast"/>
      <w:ind w:left="-1" w:leftChars="-1" w:hanging="1" w:hangingChars="1"/>
      <w:textAlignment w:val="top"/>
      <w:outlineLvl w:val="0"/>
    </w:pPr>
    <w:rPr>
      <w:rFonts w:ascii="Arial" w:hAnsi="Arial" w:cs="Times New Roman" w:eastAsiaTheme="minorEastAsia"/>
      <w:snapToGrid w:val="0"/>
      <w:position w:val="-1"/>
      <w:sz w:val="24"/>
      <w:lang w:val="en-US" w:eastAsia="en-US" w:bidi="ar-SA"/>
    </w:rPr>
  </w:style>
  <w:style w:type="paragraph" w:customStyle="1" w:styleId="27">
    <w:name w:val="Hanging Indent"/>
    <w:basedOn w:val="11"/>
    <w:qFormat/>
    <w:uiPriority w:val="0"/>
    <w:pPr>
      <w:overflowPunct/>
      <w:autoSpaceDE/>
      <w:autoSpaceDN/>
      <w:adjustRightInd/>
      <w:spacing w:after="0"/>
      <w:ind w:left="540" w:hanging="540"/>
      <w:textAlignment w:val="auto"/>
    </w:pPr>
    <w:rPr>
      <w:rFonts w:ascii="Times New Roman" w:hAnsi="Times New Roman"/>
      <w:sz w:val="24"/>
    </w:rPr>
  </w:style>
  <w:style w:type="paragraph" w:customStyle="1" w:styleId="28">
    <w:name w:val="Balloon Text1"/>
    <w:basedOn w:val="1"/>
    <w:qFormat/>
    <w:uiPriority w:val="0"/>
    <w:rPr>
      <w:rFonts w:ascii="Tahoma" w:hAnsi="Tahoma" w:cs="Tahoma"/>
      <w:sz w:val="16"/>
      <w:szCs w:val="16"/>
    </w:rPr>
  </w:style>
  <w:style w:type="paragraph" w:customStyle="1" w:styleId="29">
    <w:name w:val="Default"/>
    <w:qFormat/>
    <w:uiPriority w:val="0"/>
    <w:pPr>
      <w:widowControl w:val="0"/>
      <w:suppressAutoHyphens/>
      <w:autoSpaceDE w:val="0"/>
      <w:autoSpaceDN w:val="0"/>
      <w:adjustRightInd w:val="0"/>
      <w:spacing w:line="1" w:lineRule="atLeast"/>
      <w:ind w:left="-1" w:leftChars="-1" w:hanging="1" w:hangingChars="1"/>
      <w:textAlignment w:val="top"/>
      <w:outlineLvl w:val="0"/>
    </w:pPr>
    <w:rPr>
      <w:rFonts w:ascii="Times New Roman" w:hAnsi="Times New Roman" w:cs="Times New Roman" w:eastAsiaTheme="minorEastAsia"/>
      <w:color w:val="000000"/>
      <w:position w:val="-1"/>
      <w:sz w:val="24"/>
      <w:szCs w:val="24"/>
      <w:lang w:val="en-US" w:eastAsia="zh-CN" w:bidi="ar-SA"/>
    </w:rPr>
  </w:style>
  <w:style w:type="paragraph" w:customStyle="1" w:styleId="30">
    <w:name w:val="Revision"/>
    <w:qFormat/>
    <w:uiPriority w:val="0"/>
    <w:pPr>
      <w:suppressAutoHyphens/>
      <w:spacing w:line="1" w:lineRule="atLeast"/>
      <w:ind w:left="-1" w:leftChars="-1" w:hanging="1" w:hangingChars="1"/>
      <w:textAlignment w:val="top"/>
      <w:outlineLvl w:val="0"/>
    </w:pPr>
    <w:rPr>
      <w:rFonts w:ascii="Tms Rmn" w:hAnsi="Tms Rmn" w:cs="Times New Roman" w:eastAsiaTheme="minorEastAsia"/>
      <w:position w:val="-1"/>
      <w:lang w:val="en-US" w:eastAsia="en-US" w:bidi="ar-SA"/>
    </w:rPr>
  </w:style>
  <w:style w:type="character" w:customStyle="1" w:styleId="31">
    <w:name w:val="fontstyle01"/>
    <w:qFormat/>
    <w:uiPriority w:val="0"/>
    <w:rPr>
      <w:rFonts w:hint="default" w:ascii="Arial" w:hAnsi="Arial" w:cs="Arial"/>
      <w:color w:val="000000"/>
      <w:w w:val="100"/>
      <w:position w:val="-1"/>
      <w:sz w:val="20"/>
      <w:szCs w:val="20"/>
      <w:vertAlign w:val="baseline"/>
      <w:cs w:val="0"/>
    </w:rPr>
  </w:style>
  <w:style w:type="character" w:customStyle="1" w:styleId="32">
    <w:name w:val="标题 2 字符"/>
    <w:qFormat/>
    <w:uiPriority w:val="0"/>
    <w:rPr>
      <w:rFonts w:ascii="等线 Light" w:hAnsi="等线 Light" w:eastAsia="等线 Light" w:cs="Times New Roman"/>
      <w:b/>
      <w:bCs/>
      <w:w w:val="100"/>
      <w:position w:val="-1"/>
      <w:sz w:val="32"/>
      <w:szCs w:val="32"/>
      <w:vertAlign w:val="baseline"/>
      <w:cs w:val="0"/>
      <w:lang w:eastAsia="en-US"/>
    </w:rPr>
  </w:style>
  <w:style w:type="paragraph" w:customStyle="1" w:styleId="33">
    <w:name w:val="Policy Text"/>
    <w:qFormat/>
    <w:uiPriority w:val="0"/>
    <w:pPr>
      <w:suppressAutoHyphens/>
      <w:spacing w:after="240" w:line="1" w:lineRule="atLeast"/>
      <w:ind w:left="-1" w:leftChars="-1" w:hanging="1" w:hangingChars="1"/>
      <w:textAlignment w:val="top"/>
      <w:outlineLvl w:val="0"/>
    </w:pPr>
    <w:rPr>
      <w:rFonts w:ascii="Times New Roman" w:hAnsi="Times New Roman" w:cs="Times New Roman" w:eastAsiaTheme="minorEastAsia"/>
      <w:position w:val="-1"/>
      <w:sz w:val="24"/>
      <w:szCs w:val="24"/>
      <w:lang w:val="en-US" w:eastAsia="en-US" w:bidi="ar-SA"/>
    </w:rPr>
  </w:style>
  <w:style w:type="paragraph" w:customStyle="1" w:styleId="34">
    <w:name w:val="列出段落1"/>
    <w:basedOn w:val="1"/>
    <w:qFormat/>
    <w:uiPriority w:val="0"/>
    <w:pPr>
      <w:widowControl w:val="0"/>
      <w:overflowPunct/>
      <w:spacing w:before="120"/>
      <w:ind w:left="1280" w:hanging="360"/>
      <w:textAlignment w:val="auto"/>
    </w:pPr>
    <w:rPr>
      <w:rFonts w:ascii="Times New Roman" w:hAnsi="Times New Roman" w:eastAsia="等线"/>
      <w:sz w:val="24"/>
      <w:szCs w:val="24"/>
    </w:rPr>
  </w:style>
  <w:style w:type="character" w:customStyle="1" w:styleId="35">
    <w:name w:val="列出段落 字符"/>
    <w:qFormat/>
    <w:uiPriority w:val="0"/>
    <w:rPr>
      <w:w w:val="100"/>
      <w:position w:val="-1"/>
      <w:sz w:val="24"/>
      <w:szCs w:val="24"/>
      <w:vertAlign w:val="baseline"/>
      <w:cs w:val="0"/>
      <w:lang w:eastAsia="en-US"/>
    </w:rPr>
  </w:style>
  <w:style w:type="paragraph" w:customStyle="1" w:styleId="36">
    <w:name w:val="table_title"/>
    <w:basedOn w:val="1"/>
    <w:qFormat/>
    <w:uiPriority w:val="0"/>
    <w:pPr>
      <w:overflowPunct/>
      <w:autoSpaceDE/>
      <w:autoSpaceDN/>
      <w:adjustRightInd/>
      <w:spacing w:before="100" w:beforeAutospacing="1" w:after="100" w:afterAutospacing="1"/>
      <w:jc w:val="center"/>
      <w:textAlignment w:val="auto"/>
    </w:pPr>
    <w:rPr>
      <w:rFonts w:ascii="宋体" w:hAnsi="宋体" w:cs="宋体"/>
      <w:b/>
      <w:bCs/>
      <w:sz w:val="24"/>
      <w:szCs w:val="24"/>
      <w:lang w:eastAsia="zh-CN"/>
    </w:rPr>
  </w:style>
  <w:style w:type="paragraph" w:customStyle="1" w:styleId="37">
    <w:name w:val="table_note"/>
    <w:basedOn w:val="1"/>
    <w:qFormat/>
    <w:uiPriority w:val="0"/>
    <w:pPr>
      <w:overflowPunct/>
      <w:autoSpaceDE/>
      <w:autoSpaceDN/>
      <w:adjustRightInd/>
      <w:spacing w:before="100" w:beforeAutospacing="1" w:after="100" w:afterAutospacing="1"/>
      <w:textAlignment w:val="auto"/>
    </w:pPr>
    <w:rPr>
      <w:rFonts w:ascii="宋体" w:hAnsi="宋体" w:cs="宋体"/>
      <w:sz w:val="24"/>
      <w:szCs w:val="24"/>
      <w:lang w:eastAsia="zh-CN"/>
    </w:rPr>
  </w:style>
  <w:style w:type="character" w:customStyle="1" w:styleId="38">
    <w:name w:val="fontstyle21"/>
    <w:qFormat/>
    <w:uiPriority w:val="0"/>
    <w:rPr>
      <w:rFonts w:hint="default" w:ascii="Calibri" w:hAnsi="Calibri" w:cs="Calibri"/>
      <w:color w:val="000000"/>
      <w:w w:val="100"/>
      <w:position w:val="-1"/>
      <w:sz w:val="22"/>
      <w:szCs w:val="22"/>
      <w:vertAlign w:val="baseline"/>
      <w:cs w:val="0"/>
    </w:rPr>
  </w:style>
  <w:style w:type="table" w:customStyle="1" w:styleId="39">
    <w:name w:val="_Style 40"/>
    <w:basedOn w:val="25"/>
    <w:qFormat/>
    <w:uiPriority w:val="0"/>
    <w:tblPr>
      <w:tblCellMar>
        <w:left w:w="108" w:type="dxa"/>
        <w:right w:w="108" w:type="dxa"/>
      </w:tblCellMar>
    </w:tblPr>
  </w:style>
  <w:style w:type="table" w:customStyle="1" w:styleId="40">
    <w:name w:val="_Style 41"/>
    <w:basedOn w:val="25"/>
    <w:qFormat/>
    <w:uiPriority w:val="0"/>
    <w:tblPr>
      <w:tblCellMar>
        <w:left w:w="108" w:type="dxa"/>
        <w:right w:w="108" w:type="dxa"/>
      </w:tblCellMar>
    </w:tblPr>
  </w:style>
  <w:style w:type="table" w:customStyle="1" w:styleId="41">
    <w:name w:val="_Style 42"/>
    <w:basedOn w:val="25"/>
    <w:qFormat/>
    <w:uiPriority w:val="0"/>
    <w:tblPr>
      <w:tblCellMar>
        <w:left w:w="108"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Pages>
  <Words>1042</Words>
  <Characters>1218</Characters>
  <Lines>10</Lines>
  <Paragraphs>2</Paragraphs>
  <TotalTime>36</TotalTime>
  <ScaleCrop>false</ScaleCrop>
  <LinksUpToDate>false</LinksUpToDate>
  <CharactersWithSpaces>1377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2024-03-06T09:56:00Z</dcterms:created>
  <dc:creator>Transport Airplane Directorate</dc:creator>
  <cp:lastModifiedBy>于荟文</cp:lastModifiedBy>
  <cp:lastPrinted>2024-11-03T21:03:00Z</cp:lastPrinted>
  <dcterms:modified xsi:type="dcterms:W3CDTF">2025-02-10T08:28:49Z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62E9BFA258784905824B0D3B713257B4_12</vt:lpwstr>
  </property>
  <property fmtid="{D5CDD505-2E9C-101B-9397-08002B2CF9AE}" pid="4" name="TitusGUID">
    <vt:lpwstr>d42c61c3-c337-4ac7-ae22-41aaa17ef5cf</vt:lpwstr>
  </property>
  <property fmtid="{D5CDD505-2E9C-101B-9397-08002B2CF9AE}" pid="5" name="ClassificationUserID">
    <vt:lpwstr>g415288</vt:lpwstr>
  </property>
  <property fmtid="{D5CDD505-2E9C-101B-9397-08002B2CF9AE}" pid="6" name="ClassificationUTCDatestamp">
    <vt:lpwstr>2023-12-06T08:20:58.6129348Z</vt:lpwstr>
  </property>
  <property fmtid="{D5CDD505-2E9C-101B-9397-08002B2CF9AE}" pid="7" name="Taxonomy Reference">
    <vt:lpwstr>AH v3.2 -  M1943_Appendix C_4</vt:lpwstr>
  </property>
  <property fmtid="{D5CDD505-2E9C-101B-9397-08002B2CF9AE}" pid="8" name="e-tag">
    <vt:lpwstr>XXPCA|||||XXCCA</vt:lpwstr>
  </property>
  <property fmtid="{D5CDD505-2E9C-101B-9397-08002B2CF9AE}" pid="9" name="DataSensitivity">
    <vt:lpwstr>Not or Basic Personal Data|||||Not Applicable</vt:lpwstr>
  </property>
  <property fmtid="{D5CDD505-2E9C-101B-9397-08002B2CF9AE}" pid="10" name="TVM">
    <vt:lpwstr>N</vt:lpwstr>
  </property>
  <property fmtid="{D5CDD505-2E9C-101B-9397-08002B2CF9AE}" pid="11" name="TempHistorization">
    <vt:lpwstr>,||||||||||||||g415288|2023-12-06T08:20:59.0275792Z</vt:lpwstr>
  </property>
  <property fmtid="{D5CDD505-2E9C-101B-9397-08002B2CF9AE}" pid="12" name="Historization">
    <vt:lpwstr>EC_Rationale|EC_National_Country|EC_EX_Country|EC_NationalRegulationTag|EC_EXRegulationTagEAR|EC_EXRegulationTagITAR|DECommonECClassificationCode|ESCommonECClassificationCode|FRMLAMADUClassificationCode|GBCommonECClassificationCode|ECCClassificationCode1|</vt:lpwstr>
  </property>
  <property fmtid="{D5CDD505-2E9C-101B-9397-08002B2CF9AE}" pid="13" name="DP">
    <vt:lpwstr>NBPD</vt:lpwstr>
  </property>
  <property fmtid="{D5CDD505-2E9C-101B-9397-08002B2CF9AE}" pid="14" name="EC1">
    <vt:lpwstr>NT</vt:lpwstr>
  </property>
  <property fmtid="{D5CDD505-2E9C-101B-9397-08002B2CF9AE}" pid="15" name="EC2">
    <vt:lpwstr>NT</vt:lpwstr>
  </property>
  <property fmtid="{D5CDD505-2E9C-101B-9397-08002B2CF9AE}" pid="16" name="NSJ">
    <vt:lpwstr>NA</vt:lpwstr>
  </property>
  <property fmtid="{D5CDD505-2E9C-101B-9397-08002B2CF9AE}" pid="17" name="CC">
    <vt:lpwstr>NA</vt:lpwstr>
  </property>
  <property fmtid="{D5CDD505-2E9C-101B-9397-08002B2CF9AE}" pid="18" name="BPD">
    <vt:lpwstr>B</vt:lpwstr>
  </property>
  <property fmtid="{D5CDD505-2E9C-101B-9397-08002B2CF9AE}" pid="19" name="VM">
    <vt:lpwstr>N</vt:lpwstr>
  </property>
  <property fmtid="{D5CDD505-2E9C-101B-9397-08002B2CF9AE}" pid="20" name="KSOTemplateDocerSaveRecord">
    <vt:lpwstr>eyJoZGlkIjoiMmFhNmEwZDU5YTIyM2YzY2FiNzdmZmNiMDgxYmE2ZGYiLCJ1c2VySWQiOiI0OTEzODYxNjkifQ==</vt:lpwstr>
  </property>
</Properties>
</file>