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D0433">
      <w:pPr>
        <w:pBdr>
          <w:top w:val="none" w:color="auto" w:sz="0" w:space="1"/>
          <w:left w:val="none" w:color="auto" w:sz="0" w:space="4"/>
          <w:bottom w:val="none" w:color="auto" w:sz="0" w:space="1"/>
          <w:right w:val="none" w:color="auto" w:sz="0" w:space="4"/>
        </w:pBdr>
        <w:spacing w:line="360" w:lineRule="auto"/>
        <w:ind w:firstLine="0" w:firstLineChars="0"/>
        <w:jc w:val="left"/>
        <w:rPr>
          <w:rFonts w:hint="eastAsia" w:eastAsia="华文中宋"/>
          <w:sz w:val="44"/>
          <w:szCs w:val="44"/>
        </w:rPr>
      </w:pPr>
      <w:r>
        <w:rPr>
          <w:rFonts w:eastAsia="华文中宋"/>
          <w:sz w:val="44"/>
          <w:szCs w:val="44"/>
        </w:rPr>
        <w:drawing>
          <wp:inline distT="0" distB="0" distL="0" distR="0">
            <wp:extent cx="1751330" cy="66802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751330" cy="668020"/>
                    </a:xfrm>
                    <a:prstGeom prst="rect">
                      <a:avLst/>
                    </a:prstGeom>
                    <a:noFill/>
                    <a:ln>
                      <a:noFill/>
                    </a:ln>
                  </pic:spPr>
                </pic:pic>
              </a:graphicData>
            </a:graphic>
          </wp:inline>
        </w:drawing>
      </w:r>
      <w:r>
        <w:rPr>
          <w:rFonts w:hint="eastAsia" w:eastAsia="华文中宋"/>
          <w:sz w:val="44"/>
          <w:szCs w:val="44"/>
        </w:rPr>
        <w:t>咨询通告</w:t>
      </w:r>
    </w:p>
    <w:p w14:paraId="008E8A7F">
      <w:pPr>
        <w:spacing w:line="360" w:lineRule="auto"/>
        <w:rPr>
          <w:rFonts w:hint="eastAsia"/>
        </w:rPr>
      </w:pPr>
    </w:p>
    <w:p w14:paraId="65EF278E">
      <w:pPr>
        <w:pBdr>
          <w:bottom w:val="single" w:color="auto" w:sz="6" w:space="1"/>
        </w:pBdr>
        <w:spacing w:line="360" w:lineRule="auto"/>
        <w:ind w:firstLine="480"/>
        <w:rPr>
          <w:rFonts w:hint="eastAsia" w:eastAsia="黑体"/>
          <w:sz w:val="24"/>
        </w:rPr>
      </w:pPr>
      <w:r>
        <w:rPr>
          <w:rFonts w:eastAsia="黑体"/>
          <w:sz w:val="24"/>
        </w:rPr>
        <w:t>中 国 民 用 航 空 局</w:t>
      </w:r>
    </w:p>
    <w:p w14:paraId="73D0D096">
      <w:pPr>
        <w:spacing w:line="360" w:lineRule="auto"/>
        <w:ind w:firstLine="480"/>
        <w:rPr>
          <w:rFonts w:hint="eastAsia" w:eastAsia="黑体"/>
          <w:sz w:val="24"/>
        </w:rPr>
      </w:pPr>
    </w:p>
    <w:p w14:paraId="4011782A">
      <w:pPr>
        <w:spacing w:line="360" w:lineRule="auto"/>
        <w:ind w:firstLine="3920" w:firstLineChars="1400"/>
        <w:outlineLvl w:val="0"/>
        <w:rPr>
          <w:rFonts w:hint="eastAsia" w:ascii="方正仿宋_GB2312" w:hAnsi="方正仿宋_GB2312" w:eastAsia="方正仿宋_GB2312" w:cs="方正仿宋_GB2312"/>
          <w:sz w:val="28"/>
          <w:szCs w:val="28"/>
        </w:rPr>
      </w:pPr>
      <w:bookmarkStart w:id="0" w:name="_Toc6956"/>
      <w:r>
        <w:rPr>
          <w:rFonts w:hint="eastAsia" w:ascii="方正仿宋_GB2312" w:hAnsi="方正仿宋_GB2312" w:eastAsia="方正仿宋_GB2312" w:cs="方正仿宋_GB2312"/>
          <w:sz w:val="28"/>
          <w:szCs w:val="28"/>
        </w:rPr>
        <w:t>文    号：民航规〔2024〕</w:t>
      </w:r>
      <w:r>
        <w:rPr>
          <w:rFonts w:hint="eastAsia" w:ascii="方正仿宋_GB2312" w:hAnsi="方正仿宋_GB2312" w:eastAsia="方正仿宋_GB2312" w:cs="方正仿宋_GB2312"/>
        </w:rPr>
        <w:t>xx</w:t>
      </w:r>
      <w:r>
        <w:rPr>
          <w:rFonts w:hint="eastAsia" w:ascii="方正仿宋_GB2312" w:hAnsi="方正仿宋_GB2312" w:eastAsia="方正仿宋_GB2312" w:cs="方正仿宋_GB2312"/>
          <w:sz w:val="28"/>
          <w:szCs w:val="28"/>
        </w:rPr>
        <w:t xml:space="preserve"> 号</w:t>
      </w:r>
      <w:bookmarkEnd w:id="0"/>
    </w:p>
    <w:p w14:paraId="07592A37">
      <w:pPr>
        <w:spacing w:line="360" w:lineRule="auto"/>
        <w:ind w:firstLine="56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编    号：AC-276R2-TR-2024-</w:t>
      </w:r>
      <w:r>
        <w:rPr>
          <w:rFonts w:hint="eastAsia" w:ascii="方正仿宋_GB2312" w:hAnsi="方正仿宋_GB2312" w:eastAsia="方正仿宋_GB2312" w:cs="方正仿宋_GB2312"/>
        </w:rPr>
        <w:t xml:space="preserve"> xxxx</w:t>
      </w:r>
    </w:p>
    <w:p w14:paraId="473FEF36">
      <w:pPr>
        <w:spacing w:line="360" w:lineRule="auto"/>
        <w:ind w:firstLine="3920" w:firstLineChars="14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下发日期：2024年</w:t>
      </w:r>
      <w:r>
        <w:rPr>
          <w:rFonts w:hint="eastAsia" w:ascii="方正仿宋_GB2312" w:hAnsi="方正仿宋_GB2312" w:eastAsia="方正仿宋_GB2312" w:cs="方正仿宋_GB2312"/>
        </w:rPr>
        <w:t>xx</w:t>
      </w:r>
      <w:r>
        <w:rPr>
          <w:rFonts w:hint="eastAsia" w:ascii="方正仿宋_GB2312" w:hAnsi="方正仿宋_GB2312" w:eastAsia="方正仿宋_GB2312" w:cs="方正仿宋_GB2312"/>
          <w:sz w:val="28"/>
          <w:szCs w:val="28"/>
        </w:rPr>
        <w:t>月</w:t>
      </w:r>
      <w:r>
        <w:rPr>
          <w:rFonts w:hint="eastAsia" w:ascii="方正仿宋_GB2312" w:hAnsi="方正仿宋_GB2312" w:eastAsia="方正仿宋_GB2312" w:cs="方正仿宋_GB2312"/>
        </w:rPr>
        <w:t>xx</w:t>
      </w:r>
      <w:r>
        <w:rPr>
          <w:rFonts w:hint="eastAsia" w:ascii="方正仿宋_GB2312" w:hAnsi="方正仿宋_GB2312" w:eastAsia="方正仿宋_GB2312" w:cs="方正仿宋_GB2312"/>
          <w:sz w:val="28"/>
          <w:szCs w:val="28"/>
        </w:rPr>
        <w:t>日</w:t>
      </w:r>
    </w:p>
    <w:p w14:paraId="1A6F77A4">
      <w:pPr>
        <w:spacing w:line="360" w:lineRule="auto"/>
        <w:ind w:firstLine="560"/>
        <w:rPr>
          <w:rFonts w:hint="eastAsia"/>
          <w:color w:val="FF0000"/>
          <w:sz w:val="28"/>
          <w:szCs w:val="28"/>
        </w:rPr>
      </w:pPr>
    </w:p>
    <w:p w14:paraId="21A7F670">
      <w:pPr>
        <w:spacing w:line="360" w:lineRule="auto"/>
        <w:ind w:firstLine="560"/>
        <w:rPr>
          <w:rFonts w:hint="eastAsia"/>
          <w:sz w:val="28"/>
          <w:szCs w:val="28"/>
        </w:rPr>
      </w:pPr>
    </w:p>
    <w:p w14:paraId="30FCA24F">
      <w:pPr>
        <w:spacing w:line="360" w:lineRule="auto"/>
        <w:ind w:firstLine="560"/>
        <w:rPr>
          <w:rFonts w:hint="eastAsia"/>
          <w:sz w:val="28"/>
          <w:szCs w:val="28"/>
        </w:rPr>
      </w:pPr>
    </w:p>
    <w:p w14:paraId="6DDCC483">
      <w:pPr>
        <w:spacing w:line="360" w:lineRule="auto"/>
        <w:ind w:left="600" w:firstLine="0" w:firstLineChars="0"/>
        <w:jc w:val="center"/>
        <w:outlineLvl w:val="0"/>
        <w:rPr>
          <w:rFonts w:ascii="Calibri" w:hAnsi="Calibri" w:eastAsia="华文中宋" w:cs="Times New Roman"/>
          <w:b/>
          <w:sz w:val="48"/>
          <w:szCs w:val="48"/>
        </w:rPr>
      </w:pPr>
      <w:bookmarkStart w:id="1" w:name="_Toc24477"/>
      <w:r>
        <w:rPr>
          <w:rFonts w:hint="eastAsia" w:ascii="Calibri" w:hAnsi="Calibri" w:eastAsia="华文中宋" w:cs="Times New Roman"/>
          <w:b/>
          <w:sz w:val="48"/>
          <w:szCs w:val="48"/>
        </w:rPr>
        <w:t>公共航空危险品运输培训管理办法</w:t>
      </w:r>
      <w:bookmarkEnd w:id="1"/>
    </w:p>
    <w:p w14:paraId="518F0E16">
      <w:pPr>
        <w:spacing w:line="360" w:lineRule="auto"/>
        <w:ind w:left="600" w:firstLine="0" w:firstLineChars="0"/>
        <w:jc w:val="center"/>
        <w:outlineLvl w:val="0"/>
        <w:rPr>
          <w:rFonts w:ascii="Calibri" w:hAnsi="Calibri" w:eastAsia="华文中宋" w:cs="Times New Roman"/>
          <w:b/>
          <w:sz w:val="48"/>
          <w:szCs w:val="48"/>
        </w:rPr>
      </w:pPr>
      <w:bookmarkStart w:id="2" w:name="_Toc21113"/>
      <w:r>
        <w:rPr>
          <w:rFonts w:hint="eastAsia" w:ascii="Calibri" w:hAnsi="Calibri" w:eastAsia="华文中宋" w:cs="Times New Roman"/>
          <w:b/>
          <w:sz w:val="48"/>
          <w:szCs w:val="48"/>
        </w:rPr>
        <w:t>（征求意见稿）</w:t>
      </w:r>
      <w:bookmarkEnd w:id="2"/>
    </w:p>
    <w:p w14:paraId="07569040">
      <w:pPr>
        <w:spacing w:line="360" w:lineRule="auto"/>
        <w:ind w:firstLine="961"/>
        <w:jc w:val="center"/>
        <w:rPr>
          <w:rFonts w:hint="eastAsia" w:eastAsia="华文中宋"/>
          <w:b/>
          <w:sz w:val="48"/>
          <w:szCs w:val="48"/>
        </w:rPr>
      </w:pPr>
    </w:p>
    <w:p w14:paraId="14962A01">
      <w:pPr>
        <w:spacing w:line="360" w:lineRule="auto"/>
        <w:ind w:firstLine="1041"/>
        <w:jc w:val="center"/>
        <w:rPr>
          <w:rFonts w:hint="eastAsia" w:eastAsia="华文中宋"/>
          <w:b/>
          <w:sz w:val="52"/>
          <w:szCs w:val="52"/>
        </w:rPr>
      </w:pPr>
    </w:p>
    <w:p w14:paraId="3A4E6A3B">
      <w:pPr>
        <w:pBdr>
          <w:bottom w:val="single" w:color="auto" w:sz="6" w:space="1"/>
        </w:pBdr>
        <w:spacing w:line="360" w:lineRule="auto"/>
        <w:ind w:firstLine="1041"/>
        <w:jc w:val="center"/>
        <w:rPr>
          <w:rFonts w:hint="eastAsia" w:eastAsia="华文中宋"/>
          <w:b/>
          <w:sz w:val="52"/>
          <w:szCs w:val="52"/>
        </w:rPr>
      </w:pPr>
    </w:p>
    <w:p w14:paraId="203B6475">
      <w:pPr>
        <w:pBdr>
          <w:bottom w:val="single" w:color="auto" w:sz="6" w:space="1"/>
        </w:pBdr>
        <w:spacing w:line="360" w:lineRule="auto"/>
        <w:ind w:firstLine="1041"/>
        <w:jc w:val="center"/>
        <w:rPr>
          <w:rFonts w:hint="eastAsia" w:eastAsia="华文中宋"/>
          <w:b/>
          <w:sz w:val="52"/>
          <w:szCs w:val="52"/>
        </w:rPr>
      </w:pPr>
    </w:p>
    <w:p w14:paraId="096B256A">
      <w:pPr>
        <w:pBdr>
          <w:bottom w:val="single" w:color="auto" w:sz="6" w:space="1"/>
        </w:pBdr>
        <w:spacing w:line="360" w:lineRule="auto"/>
        <w:ind w:firstLine="1041"/>
        <w:jc w:val="center"/>
        <w:rPr>
          <w:rFonts w:hint="eastAsia" w:eastAsia="华文中宋"/>
          <w:b/>
          <w:sz w:val="52"/>
          <w:szCs w:val="52"/>
        </w:rPr>
      </w:pPr>
    </w:p>
    <w:p w14:paraId="54148EB5">
      <w:pPr>
        <w:pBdr>
          <w:bottom w:val="single" w:color="auto" w:sz="6" w:space="1"/>
        </w:pBdr>
        <w:spacing w:line="360" w:lineRule="auto"/>
        <w:ind w:firstLine="1041"/>
        <w:jc w:val="center"/>
        <w:rPr>
          <w:rFonts w:hint="eastAsia" w:eastAsia="华文中宋"/>
          <w:b/>
          <w:sz w:val="52"/>
          <w:szCs w:val="52"/>
        </w:rPr>
      </w:pPr>
    </w:p>
    <w:p w14:paraId="3F283E91">
      <w:pPr>
        <w:pStyle w:val="8"/>
        <w:spacing w:line="360" w:lineRule="auto"/>
        <w:ind w:left="0" w:leftChars="0"/>
        <w:rPr>
          <w:rFonts w:hint="eastAsia"/>
        </w:rPr>
        <w:sectPr>
          <w:headerReference r:id="rId7" w:type="first"/>
          <w:footerReference r:id="rId10" w:type="first"/>
          <w:headerReference r:id="rId5" w:type="default"/>
          <w:footerReference r:id="rId8" w:type="default"/>
          <w:headerReference r:id="rId6" w:type="even"/>
          <w:footerReference r:id="rId9" w:type="even"/>
          <w:endnotePr>
            <w:numFmt w:val="decimal"/>
          </w:endnotePr>
          <w:pgSz w:w="11906" w:h="16838"/>
          <w:pgMar w:top="1440" w:right="1800" w:bottom="1440" w:left="1800" w:header="851" w:footer="992" w:gutter="0"/>
          <w:pgNumType w:fmt="upperRoman" w:start="1"/>
          <w:cols w:space="720" w:num="1"/>
          <w:titlePg/>
          <w:docGrid w:type="lines" w:linePitch="312" w:charSpace="0"/>
        </w:sectPr>
      </w:pPr>
    </w:p>
    <w:p w14:paraId="5CB676B0">
      <w:pPr>
        <w:pStyle w:val="2"/>
        <w:numPr>
          <w:ilvl w:val="0"/>
          <w:numId w:val="1"/>
        </w:numPr>
        <w:spacing w:before="105" w:after="327" w:afterLines="105" w:line="360" w:lineRule="auto"/>
        <w:ind w:firstLine="0" w:firstLineChars="0"/>
        <w:jc w:val="center"/>
      </w:pPr>
      <w:bookmarkStart w:id="3" w:name="_Toc6030"/>
      <w:bookmarkEnd w:id="3"/>
      <w:bookmarkStart w:id="4" w:name="_Toc13180"/>
      <w:bookmarkEnd w:id="4"/>
      <w:bookmarkStart w:id="5" w:name="_Toc1504"/>
      <w:bookmarkStart w:id="6" w:name="_Toc10390"/>
      <w:bookmarkStart w:id="7" w:name="_Toc18010"/>
      <w:bookmarkStart w:id="8" w:name="_Toc18682"/>
      <w:bookmarkStart w:id="9" w:name="_Toc2332"/>
      <w:bookmarkStart w:id="10" w:name="_Toc31960"/>
      <w:bookmarkStart w:id="11" w:name="_Toc7349"/>
      <w:bookmarkStart w:id="12" w:name="_Toc9318"/>
      <w:bookmarkStart w:id="13" w:name="_Toc9861"/>
      <w:bookmarkStart w:id="14" w:name="_Toc19658"/>
      <w:bookmarkStart w:id="15" w:name="_Toc14709"/>
      <w:bookmarkStart w:id="16" w:name="_Toc5119"/>
      <w:r>
        <w:rPr>
          <w:rFonts w:hint="eastAsia" w:ascii="宋体" w:hAnsi="宋体" w:eastAsia="宋体" w:cs="Times New Roman"/>
        </w:rPr>
        <w:t>总 则</w:t>
      </w:r>
      <w:bookmarkEnd w:id="5"/>
      <w:bookmarkEnd w:id="6"/>
      <w:bookmarkEnd w:id="7"/>
      <w:bookmarkEnd w:id="8"/>
      <w:bookmarkEnd w:id="9"/>
      <w:bookmarkEnd w:id="10"/>
      <w:bookmarkEnd w:id="11"/>
      <w:bookmarkEnd w:id="12"/>
      <w:bookmarkEnd w:id="13"/>
      <w:bookmarkEnd w:id="14"/>
    </w:p>
    <w:p w14:paraId="21B60301">
      <w:pPr>
        <w:rPr>
          <w:rFonts w:hint="eastAsia" w:cs="黑体"/>
          <w:bCs/>
        </w:rPr>
      </w:pPr>
      <w:bookmarkStart w:id="17" w:name="_Toc12000"/>
      <w:bookmarkStart w:id="18" w:name="_Toc13990"/>
      <w:bookmarkStart w:id="19" w:name="_Toc13833"/>
      <w:bookmarkStart w:id="20" w:name="_Toc18769"/>
      <w:bookmarkStart w:id="21" w:name="_Toc31182"/>
      <w:bookmarkStart w:id="22" w:name="_Toc5896"/>
      <w:bookmarkStart w:id="23" w:name="_Toc16153"/>
      <w:bookmarkStart w:id="24" w:name="_Toc2440"/>
      <w:r>
        <w:rPr>
          <w:rFonts w:hint="eastAsia" w:ascii="黑体" w:eastAsia="黑体" w:cs="黑体"/>
          <w:bCs/>
        </w:rPr>
        <w:t>第一条</w:t>
      </w:r>
      <w:bookmarkEnd w:id="15"/>
      <w:bookmarkEnd w:id="16"/>
      <w:bookmarkEnd w:id="17"/>
      <w:bookmarkEnd w:id="18"/>
      <w:bookmarkEnd w:id="19"/>
      <w:bookmarkEnd w:id="20"/>
      <w:bookmarkEnd w:id="21"/>
      <w:bookmarkEnd w:id="22"/>
      <w:bookmarkEnd w:id="23"/>
      <w:bookmarkEnd w:id="24"/>
      <w:r>
        <w:rPr>
          <w:rFonts w:hint="eastAsia" w:ascii="黑体" w:eastAsia="黑体" w:cs="黑体"/>
          <w:bCs/>
        </w:rPr>
        <w:t xml:space="preserve"> </w:t>
      </w:r>
      <w:r>
        <w:rPr>
          <w:rFonts w:hint="eastAsia" w:ascii="方正仿宋_GB2312" w:hAnsi="方正仿宋_GB2312" w:eastAsia="方正仿宋_GB2312" w:cs="方正仿宋_GB2312"/>
        </w:rPr>
        <w:t>为规范公共航空危险品运输培训活动（以下简称危险品培训），保障航空运输安全，依据《民用航空危险品运输管理规定》（CCAR-276-R2）（以下简称管理规定）、国际民航组织《危险物品安全航空运输技术细则》制定本办法。</w:t>
      </w:r>
    </w:p>
    <w:p w14:paraId="3B81DC2A">
      <w:pPr>
        <w:rPr>
          <w:rFonts w:hint="eastAsia" w:ascii="方正仿宋_GB2312" w:hAnsi="方正仿宋_GB2312" w:eastAsia="方正仿宋_GB2312" w:cs="方正仿宋_GB2312"/>
          <w:bCs/>
          <w:color w:val="FF0000"/>
        </w:rPr>
      </w:pPr>
      <w:bookmarkStart w:id="25" w:name="_Toc6158"/>
      <w:bookmarkStart w:id="26" w:name="_Toc31643"/>
      <w:bookmarkStart w:id="27" w:name="_Toc1784"/>
      <w:bookmarkStart w:id="28" w:name="_Toc7485"/>
      <w:bookmarkStart w:id="29" w:name="_Toc14127"/>
      <w:bookmarkStart w:id="30" w:name="_Toc25153"/>
      <w:bookmarkStart w:id="31" w:name="_Toc3780"/>
      <w:bookmarkStart w:id="32" w:name="_Toc20704"/>
      <w:bookmarkStart w:id="33" w:name="_Toc23115"/>
      <w:bookmarkStart w:id="34" w:name="_Toc29762"/>
      <w:r>
        <w:rPr>
          <w:rFonts w:hint="eastAsia" w:ascii="黑体" w:eastAsia="黑体" w:cs="黑体"/>
          <w:bCs/>
        </w:rPr>
        <w:t>第二条</w:t>
      </w:r>
      <w:bookmarkEnd w:id="25"/>
      <w:bookmarkEnd w:id="26"/>
      <w:bookmarkEnd w:id="27"/>
      <w:bookmarkEnd w:id="28"/>
      <w:bookmarkEnd w:id="29"/>
      <w:bookmarkEnd w:id="30"/>
      <w:bookmarkEnd w:id="31"/>
      <w:bookmarkEnd w:id="32"/>
      <w:bookmarkEnd w:id="33"/>
      <w:bookmarkEnd w:id="34"/>
      <w:r>
        <w:rPr>
          <w:rFonts w:hint="eastAsia" w:ascii="黑体" w:eastAsia="黑体" w:cs="黑体"/>
          <w:bCs/>
        </w:rPr>
        <w:t xml:space="preserve"> </w:t>
      </w:r>
      <w:r>
        <w:rPr>
          <w:rFonts w:hint="eastAsia" w:ascii="方正仿宋_GB2312" w:hAnsi="方正仿宋_GB2312" w:eastAsia="方正仿宋_GB2312" w:cs="方正仿宋_GB2312"/>
        </w:rPr>
        <w:t>本办法适用于中国境内的危险品培训，和境内承运人在境外运行时开展的危险品培训。</w:t>
      </w:r>
    </w:p>
    <w:p w14:paraId="136078F1">
      <w:pPr>
        <w:outlineLvl w:val="1"/>
        <w:rPr>
          <w:rFonts w:hint="eastAsia" w:ascii="方正仿宋_GB2312" w:hAnsi="方正仿宋_GB2312" w:eastAsia="方正仿宋_GB2312" w:cs="方正仿宋_GB2312"/>
          <w:color w:val="FF0000"/>
        </w:rPr>
      </w:pPr>
      <w:bookmarkStart w:id="35" w:name="_Toc6099"/>
      <w:bookmarkStart w:id="36" w:name="_Toc10496"/>
      <w:bookmarkStart w:id="37" w:name="_Toc29359"/>
      <w:bookmarkStart w:id="38" w:name="_Toc26182"/>
      <w:bookmarkStart w:id="39" w:name="_Toc9234"/>
      <w:bookmarkStart w:id="40" w:name="_Toc13609"/>
      <w:bookmarkStart w:id="41" w:name="_Toc2261"/>
      <w:bookmarkStart w:id="42" w:name="_Toc18167"/>
      <w:bookmarkStart w:id="43" w:name="_Toc8027"/>
      <w:bookmarkStart w:id="44" w:name="_Toc27351"/>
      <w:r>
        <w:rPr>
          <w:rFonts w:hint="eastAsia" w:ascii="黑体" w:eastAsia="黑体" w:cs="黑体"/>
          <w:bCs/>
        </w:rPr>
        <w:t>第三条</w:t>
      </w:r>
      <w:bookmarkEnd w:id="35"/>
      <w:bookmarkEnd w:id="36"/>
      <w:bookmarkEnd w:id="37"/>
      <w:bookmarkEnd w:id="38"/>
      <w:bookmarkEnd w:id="39"/>
      <w:bookmarkEnd w:id="40"/>
      <w:bookmarkEnd w:id="41"/>
      <w:bookmarkEnd w:id="42"/>
      <w:bookmarkEnd w:id="43"/>
      <w:r>
        <w:rPr>
          <w:rFonts w:hint="eastAsia" w:ascii="黑体" w:eastAsia="黑体" w:cs="黑体"/>
          <w:bCs/>
        </w:rPr>
        <w:t xml:space="preserve"> </w:t>
      </w:r>
      <w:r>
        <w:rPr>
          <w:rFonts w:hint="eastAsia" w:ascii="方正仿宋_GB2312" w:hAnsi="方正仿宋_GB2312" w:eastAsia="方正仿宋_GB2312" w:cs="方正仿宋_GB2312"/>
        </w:rPr>
        <w:t>中</w:t>
      </w:r>
      <w:r>
        <w:rPr>
          <w:rFonts w:hint="eastAsia" w:ascii="方正仿宋_GB2312" w:hAnsi="方正仿宋_GB2312" w:eastAsia="方正仿宋_GB2312" w:cs="方正仿宋_GB2312"/>
        </w:rPr>
        <w:t>国民用航空局依据职责对全国危险品培训实施管理。</w:t>
      </w:r>
      <w:bookmarkEnd w:id="44"/>
    </w:p>
    <w:p w14:paraId="47E22D61">
      <w:pPr>
        <w:pStyle w:val="15"/>
        <w:ind w:firstLine="6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中国民用航空地区管理局（以下简称地区管理局）依据职责对辖区内的危险品培训实施监督管理。  </w:t>
      </w:r>
    </w:p>
    <w:p w14:paraId="6F4067FC">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境内承运人、地面服务代理人、从事民航安全检查工作的机构、危险品货物托运人及托运人代理人、其他从事危险品航空运输活动的单位（以下简称相关单位），以及港澳台地区承运人、外国承运人，依据本办法开展危险品培训，承担危险品培训的管理工作。     </w:t>
      </w:r>
    </w:p>
    <w:p w14:paraId="3A77C224">
      <w:pPr>
        <w:rPr>
          <w:rFonts w:hint="eastAsia"/>
        </w:rPr>
      </w:pPr>
    </w:p>
    <w:p w14:paraId="7D9CC46A">
      <w:pPr>
        <w:pStyle w:val="2"/>
        <w:numPr>
          <w:ilvl w:val="0"/>
          <w:numId w:val="1"/>
        </w:numPr>
        <w:spacing w:before="105" w:after="327" w:afterLines="105" w:line="360" w:lineRule="auto"/>
        <w:ind w:firstLine="0" w:firstLineChars="0"/>
        <w:jc w:val="center"/>
        <w:rPr>
          <w:rFonts w:hint="eastAsia" w:ascii="宋体" w:hAnsi="宋体" w:eastAsia="宋体" w:cs="Times New Roman"/>
        </w:rPr>
      </w:pPr>
      <w:bookmarkStart w:id="45" w:name="_Toc902"/>
      <w:bookmarkStart w:id="46" w:name="_Toc21211"/>
      <w:bookmarkStart w:id="47" w:name="_Toc31397"/>
      <w:bookmarkStart w:id="48" w:name="_Toc6308"/>
      <w:bookmarkStart w:id="49" w:name="_Toc4229"/>
      <w:bookmarkStart w:id="50" w:name="_Toc21177"/>
      <w:bookmarkStart w:id="51" w:name="_Toc10205"/>
      <w:bookmarkStart w:id="52" w:name="_Toc11401"/>
      <w:bookmarkStart w:id="53" w:name="_Toc17059"/>
      <w:bookmarkStart w:id="54" w:name="_Toc14186"/>
      <w:r>
        <w:rPr>
          <w:rFonts w:hint="eastAsia" w:ascii="宋体" w:hAnsi="宋体" w:eastAsia="宋体" w:cs="Times New Roman"/>
        </w:rPr>
        <w:t>一般规定</w:t>
      </w:r>
      <w:bookmarkEnd w:id="45"/>
      <w:bookmarkEnd w:id="46"/>
      <w:bookmarkEnd w:id="47"/>
      <w:bookmarkEnd w:id="48"/>
      <w:bookmarkEnd w:id="49"/>
      <w:bookmarkEnd w:id="50"/>
      <w:bookmarkEnd w:id="51"/>
      <w:bookmarkEnd w:id="52"/>
      <w:bookmarkEnd w:id="53"/>
      <w:bookmarkEnd w:id="54"/>
    </w:p>
    <w:p w14:paraId="3B50EED4">
      <w:pPr>
        <w:rPr>
          <w:rFonts w:hint="eastAsia" w:ascii="方正仿宋_GB2312" w:hAnsi="方正仿宋_GB2312" w:eastAsia="方正仿宋_GB2312" w:cs="方正仿宋_GB2312"/>
        </w:rPr>
      </w:pPr>
      <w:bookmarkStart w:id="55" w:name="_Toc27084"/>
      <w:bookmarkStart w:id="56" w:name="_Toc1445"/>
      <w:bookmarkStart w:id="57" w:name="_Toc27862"/>
      <w:bookmarkStart w:id="58" w:name="_Toc6258"/>
      <w:bookmarkStart w:id="59" w:name="_Toc15322"/>
      <w:bookmarkStart w:id="60" w:name="_Toc1588"/>
      <w:bookmarkStart w:id="61" w:name="_Toc9693"/>
      <w:bookmarkStart w:id="62" w:name="_Toc4979"/>
      <w:bookmarkStart w:id="63" w:name="_Toc14871"/>
      <w:r>
        <w:rPr>
          <w:rFonts w:hint="eastAsia" w:ascii="黑体" w:eastAsia="黑体" w:cs="黑体"/>
          <w:bCs/>
        </w:rPr>
        <w:t>第四条</w:t>
      </w:r>
      <w:bookmarkEnd w:id="55"/>
      <w:bookmarkEnd w:id="56"/>
      <w:bookmarkEnd w:id="57"/>
      <w:bookmarkEnd w:id="58"/>
      <w:bookmarkEnd w:id="59"/>
      <w:bookmarkEnd w:id="60"/>
      <w:bookmarkEnd w:id="61"/>
      <w:bookmarkEnd w:id="62"/>
      <w:bookmarkEnd w:id="63"/>
      <w:r>
        <w:rPr>
          <w:rFonts w:hint="eastAsia" w:ascii="黑体" w:eastAsia="黑体" w:cs="黑体"/>
          <w:bCs/>
        </w:rPr>
        <w:t xml:space="preserve"> </w:t>
      </w:r>
      <w:r>
        <w:rPr>
          <w:rFonts w:hint="eastAsia" w:ascii="方正仿宋_GB2312" w:hAnsi="方正仿宋_GB2312" w:eastAsia="方正仿宋_GB2312" w:cs="方正仿宋_GB2312"/>
        </w:rPr>
        <w:t>相关单位应确保</w:t>
      </w:r>
      <w:r>
        <w:rPr>
          <w:rFonts w:hint="eastAsia" w:ascii="方正仿宋_GB2312" w:hAnsi="方正仿宋_GB2312" w:eastAsia="方正仿宋_GB2312" w:cs="方正仿宋_GB2312"/>
          <w:bCs/>
        </w:rPr>
        <w:t>从事旅客、行李、货物、邮件航空运输等岗位的从业人员，按照相应的培训大纲通过</w:t>
      </w:r>
      <w:r>
        <w:rPr>
          <w:rFonts w:hint="eastAsia" w:ascii="方正仿宋_GB2312" w:hAnsi="方正仿宋_GB2312" w:eastAsia="方正仿宋_GB2312" w:cs="方正仿宋_GB2312"/>
        </w:rPr>
        <w:t>危险品培训并考核合格，获得胜任岗位中危险品航空运输职责所需的能力。</w:t>
      </w:r>
    </w:p>
    <w:p w14:paraId="6FE32705">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相关单位应确保涉及危险品航空运输安全职责的其他从业人员，包括但不限于客货预订、航材运输、应急处置、安全监察等，通过适当的危险品培训并考核合格，获得胜任岗位中危险品航空运输安全职责所需的能力。</w:t>
      </w:r>
    </w:p>
    <w:p w14:paraId="46950878">
      <w:pPr>
        <w:rPr>
          <w:rFonts w:hint="eastAsia" w:ascii="方正仿宋_GB2312" w:hAnsi="方正仿宋_GB2312" w:eastAsia="方正仿宋_GB2312" w:cs="方正仿宋_GB2312"/>
          <w:bCs/>
        </w:rPr>
      </w:pPr>
      <w:bookmarkStart w:id="64" w:name="_Toc7132"/>
      <w:bookmarkStart w:id="65" w:name="_Toc32253"/>
      <w:bookmarkStart w:id="66" w:name="_Toc17860"/>
      <w:bookmarkStart w:id="67" w:name="_Toc18745"/>
      <w:bookmarkStart w:id="68" w:name="_Toc8405"/>
      <w:bookmarkStart w:id="69" w:name="_Toc14697"/>
      <w:bookmarkStart w:id="70" w:name="_Toc10143"/>
      <w:bookmarkStart w:id="71" w:name="_Toc15749"/>
      <w:r>
        <w:rPr>
          <w:rFonts w:hint="eastAsia" w:ascii="黑体" w:eastAsia="黑体" w:cs="黑体"/>
          <w:bCs/>
        </w:rPr>
        <w:t>第五条</w:t>
      </w:r>
      <w:bookmarkEnd w:id="64"/>
      <w:bookmarkEnd w:id="65"/>
      <w:bookmarkEnd w:id="66"/>
      <w:bookmarkEnd w:id="67"/>
      <w:bookmarkEnd w:id="68"/>
      <w:bookmarkEnd w:id="69"/>
      <w:bookmarkEnd w:id="70"/>
      <w:bookmarkEnd w:id="71"/>
      <w:r>
        <w:rPr>
          <w:rFonts w:hint="eastAsia" w:ascii="黑体" w:eastAsia="黑体" w:cs="黑体"/>
          <w:bCs/>
        </w:rPr>
        <w:t xml:space="preserve"> </w:t>
      </w:r>
      <w:r>
        <w:rPr>
          <w:rFonts w:hint="eastAsia" w:ascii="方正仿宋_GB2312" w:hAnsi="方正仿宋_GB2312" w:eastAsia="方正仿宋_GB2312" w:cs="方正仿宋_GB2312"/>
        </w:rPr>
        <w:t>外国承运人应确保在中国境内从事危险品航空运输活动的人员按照其所在国主管部门批准的危险品培训大纲或其他等效文件的要求，接受相应危险品培训且评估合格，相关人员的培训证明应留存可查。</w:t>
      </w:r>
    </w:p>
    <w:p w14:paraId="16629E4D">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港澳台地区承运人应确保其从事危险品航空运输活动的人员按照其民航行政主管部门批准的危险品培训大纲或其他等效文件的要求，接受相应危险品培训且评估合格，相关人员的培训证明应留存可查。</w:t>
      </w:r>
    </w:p>
    <w:p w14:paraId="0564FA12">
      <w:pPr>
        <w:rPr>
          <w:rFonts w:hint="eastAsia" w:cs="黑体"/>
          <w:bCs/>
        </w:rPr>
      </w:pPr>
      <w:bookmarkStart w:id="72" w:name="_Toc26894"/>
      <w:bookmarkStart w:id="73" w:name="_Toc19153"/>
      <w:bookmarkStart w:id="74" w:name="_Toc5075"/>
      <w:bookmarkStart w:id="75" w:name="_Toc23591"/>
      <w:bookmarkStart w:id="76" w:name="_Toc13389"/>
      <w:bookmarkStart w:id="77" w:name="_Toc1605"/>
      <w:bookmarkStart w:id="78" w:name="_Toc15439"/>
      <w:bookmarkStart w:id="79" w:name="_Toc14372"/>
      <w:bookmarkStart w:id="80" w:name="_Toc26256"/>
      <w:r>
        <w:rPr>
          <w:rFonts w:hint="eastAsia" w:ascii="黑体" w:eastAsia="黑体" w:cs="黑体"/>
          <w:bCs/>
        </w:rPr>
        <w:t>第六条</w:t>
      </w:r>
      <w:bookmarkEnd w:id="72"/>
      <w:bookmarkEnd w:id="73"/>
      <w:bookmarkEnd w:id="74"/>
      <w:bookmarkEnd w:id="75"/>
      <w:bookmarkEnd w:id="76"/>
      <w:bookmarkEnd w:id="77"/>
      <w:bookmarkEnd w:id="78"/>
      <w:bookmarkEnd w:id="79"/>
      <w:bookmarkEnd w:id="80"/>
      <w:r>
        <w:rPr>
          <w:rFonts w:hint="eastAsia" w:ascii="黑体" w:eastAsia="黑体" w:cs="黑体"/>
          <w:bCs/>
        </w:rPr>
        <w:t xml:space="preserve"> </w:t>
      </w:r>
      <w:r>
        <w:rPr>
          <w:rFonts w:hint="eastAsia" w:ascii="方正仿宋_GB2312" w:hAnsi="方正仿宋_GB2312" w:eastAsia="方正仿宋_GB2312" w:cs="方正仿宋_GB2312"/>
        </w:rPr>
        <w:t>从事公共航空危险品托运或托运人代理相关活动的人员，应当按照民航行政主管部门提供的“危险品托运人培训大纲”，接受相应危险品培训且考核合格。</w:t>
      </w:r>
    </w:p>
    <w:p w14:paraId="2314DB10">
      <w:pPr>
        <w:rPr>
          <w:rFonts w:hint="eastAsia" w:ascii="方正仿宋_GB2312" w:hAnsi="方正仿宋_GB2312" w:eastAsia="方正仿宋_GB2312" w:cs="方正仿宋_GB2312"/>
        </w:rPr>
      </w:pPr>
      <w:bookmarkStart w:id="81" w:name="_Toc24382"/>
      <w:bookmarkStart w:id="82" w:name="_Toc20767"/>
      <w:bookmarkStart w:id="83" w:name="_Toc18792"/>
      <w:bookmarkStart w:id="84" w:name="_Toc24384"/>
      <w:r>
        <w:rPr>
          <w:rFonts w:hint="eastAsia" w:ascii="黑体" w:eastAsia="黑体" w:cs="黑体"/>
          <w:bCs/>
        </w:rPr>
        <w:t>第七条</w:t>
      </w:r>
      <w:bookmarkEnd w:id="81"/>
      <w:bookmarkEnd w:id="82"/>
      <w:bookmarkEnd w:id="83"/>
      <w:bookmarkEnd w:id="84"/>
      <w:bookmarkStart w:id="85" w:name="_Toc21260"/>
      <w:r>
        <w:rPr>
          <w:rFonts w:hint="eastAsia" w:ascii="黑体" w:eastAsia="黑体" w:cs="黑体"/>
          <w:bCs/>
        </w:rPr>
        <w:t xml:space="preserve"> </w:t>
      </w:r>
      <w:r>
        <w:rPr>
          <w:rFonts w:hint="eastAsia" w:ascii="方正仿宋_GB2312" w:hAnsi="方正仿宋_GB2312" w:eastAsia="方正仿宋_GB2312" w:cs="方正仿宋_GB2312"/>
        </w:rPr>
        <w:t>从业人员的危险品培训，应依据相关单位的培训大纲，并由符合本办法要求的培训机构实施。</w:t>
      </w:r>
    </w:p>
    <w:p w14:paraId="74D0D5A0">
      <w:pPr>
        <w:rPr>
          <w:rFonts w:hint="eastAsia" w:ascii="方正仿宋_GB2312" w:hAnsi="方正仿宋_GB2312" w:eastAsia="方正仿宋_GB2312" w:cs="方正仿宋_GB2312"/>
        </w:rPr>
      </w:pPr>
      <w:r>
        <w:rPr>
          <w:rFonts w:hint="eastAsia" w:ascii="黑体" w:eastAsia="黑体" w:cs="黑体"/>
          <w:bCs/>
        </w:rPr>
        <w:t xml:space="preserve">第八条 </w:t>
      </w:r>
      <w:r>
        <w:rPr>
          <w:rFonts w:hint="eastAsia" w:ascii="方正仿宋_GB2312" w:hAnsi="方正仿宋_GB2312" w:eastAsia="方正仿宋_GB2312" w:cs="方正仿宋_GB2312"/>
        </w:rPr>
        <w:t>危险品教员培训应按照</w:t>
      </w:r>
      <w:bookmarkStart w:id="494" w:name="_GoBack"/>
      <w:bookmarkEnd w:id="494"/>
      <w:r>
        <w:rPr>
          <w:rFonts w:hint="eastAsia" w:ascii="方正仿宋_GB2312" w:hAnsi="方正仿宋_GB2312" w:eastAsia="方正仿宋_GB2312" w:cs="方正仿宋_GB2312"/>
        </w:rPr>
        <w:t>民航行政主管部门提供的“危险品教员培训方案”实施。</w:t>
      </w:r>
    </w:p>
    <w:p w14:paraId="5585AC71">
      <w:pPr>
        <w:rPr>
          <w:rFonts w:hint="eastAsia" w:ascii="方正仿宋_GB2312" w:hAnsi="方正仿宋_GB2312" w:eastAsia="方正仿宋_GB2312" w:cs="方正仿宋_GB2312"/>
        </w:rPr>
      </w:pPr>
      <w:r>
        <w:rPr>
          <w:rFonts w:hint="eastAsia" w:ascii="黑体" w:eastAsia="黑体" w:cs="黑体"/>
          <w:bCs/>
        </w:rPr>
        <w:t>第九条</w:t>
      </w:r>
      <w:bookmarkEnd w:id="85"/>
      <w:r>
        <w:rPr>
          <w:rFonts w:hint="eastAsia" w:ascii="黑体" w:eastAsia="黑体" w:cs="黑体"/>
          <w:bCs/>
        </w:rPr>
        <w:t xml:space="preserve"> </w:t>
      </w:r>
      <w:r>
        <w:rPr>
          <w:rFonts w:hint="eastAsia" w:ascii="方正仿宋_GB2312" w:hAnsi="方正仿宋_GB2312" w:eastAsia="方正仿宋_GB2312" w:cs="方正仿宋_GB2312"/>
        </w:rPr>
        <w:t>相关单位应建立并保存其危险品培训档案不少于36个月。培训档案应包括培训计划、培训实施情况和培训记录。</w:t>
      </w:r>
    </w:p>
    <w:p w14:paraId="3E14C8BE">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培训记录应采用纸质文档或电子文档等便于查询的形式保存并载明：</w:t>
      </w:r>
    </w:p>
    <w:p w14:paraId="37A07F91">
      <w:pPr>
        <w:pStyle w:val="15"/>
        <w:numPr>
          <w:ilvl w:val="0"/>
          <w:numId w:val="2"/>
        </w:numPr>
        <w:ind w:left="18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参训人员信息，包括单位、姓名、以及能区分参训人员的信息；</w:t>
      </w:r>
    </w:p>
    <w:p w14:paraId="1B172F88">
      <w:pPr>
        <w:pStyle w:val="15"/>
        <w:numPr>
          <w:ilvl w:val="0"/>
          <w:numId w:val="2"/>
        </w:numPr>
        <w:ind w:left="18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每期培训的起止时间；</w:t>
      </w:r>
    </w:p>
    <w:p w14:paraId="62DC903F">
      <w:pPr>
        <w:pStyle w:val="15"/>
        <w:numPr>
          <w:ilvl w:val="0"/>
          <w:numId w:val="2"/>
        </w:numPr>
        <w:ind w:left="18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培训大纲的名称和编号；</w:t>
      </w:r>
    </w:p>
    <w:p w14:paraId="001861DB">
      <w:pPr>
        <w:pStyle w:val="15"/>
        <w:numPr>
          <w:ilvl w:val="0"/>
          <w:numId w:val="2"/>
        </w:numPr>
        <w:ind w:left="18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培训机构和授课教员；</w:t>
      </w:r>
    </w:p>
    <w:p w14:paraId="38A28213">
      <w:pPr>
        <w:pStyle w:val="15"/>
        <w:numPr>
          <w:ilvl w:val="0"/>
          <w:numId w:val="2"/>
        </w:numPr>
        <w:ind w:left="18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评估结果和评估人员；</w:t>
      </w:r>
    </w:p>
    <w:p w14:paraId="0D004F82">
      <w:pPr>
        <w:pStyle w:val="15"/>
        <w:numPr>
          <w:ilvl w:val="0"/>
          <w:numId w:val="2"/>
        </w:numPr>
        <w:ind w:left="18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相关人员的参训记录和评估记录等必要培训证据。</w:t>
      </w:r>
    </w:p>
    <w:p w14:paraId="019DC80D">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相关单位应指定组织和实施培训的管理人员或教员，对评估结果的真实性进行核准签注，并依据《公共航空危险品运输数据报送管理办法》报送相关信息。</w:t>
      </w:r>
    </w:p>
    <w:p w14:paraId="57A178F5">
      <w:pPr>
        <w:rPr>
          <w:rFonts w:hint="eastAsia"/>
        </w:rPr>
      </w:pPr>
    </w:p>
    <w:p w14:paraId="67A38A78">
      <w:pPr>
        <w:pStyle w:val="2"/>
        <w:numPr>
          <w:ilvl w:val="0"/>
          <w:numId w:val="1"/>
        </w:numPr>
        <w:spacing w:before="105" w:after="327" w:afterLines="105" w:line="360" w:lineRule="auto"/>
        <w:ind w:firstLine="0" w:firstLineChars="0"/>
        <w:jc w:val="center"/>
        <w:rPr>
          <w:rFonts w:hint="eastAsia" w:ascii="宋体" w:hAnsi="宋体" w:eastAsia="宋体" w:cs="Times New Roman"/>
        </w:rPr>
      </w:pPr>
      <w:bookmarkStart w:id="86" w:name="_Toc5639"/>
      <w:bookmarkStart w:id="87" w:name="_Toc22203"/>
      <w:bookmarkStart w:id="88" w:name="_Toc31624"/>
      <w:bookmarkStart w:id="89" w:name="_Toc20848"/>
      <w:bookmarkStart w:id="90" w:name="_Toc31848"/>
      <w:bookmarkStart w:id="91" w:name="_Toc11315"/>
      <w:bookmarkStart w:id="92" w:name="_Toc22463"/>
      <w:bookmarkStart w:id="93" w:name="_Toc28216"/>
      <w:bookmarkStart w:id="94" w:name="_Toc10898"/>
      <w:bookmarkStart w:id="95" w:name="_Toc22517"/>
      <w:r>
        <w:rPr>
          <w:rFonts w:hint="eastAsia" w:ascii="宋体" w:hAnsi="宋体" w:eastAsia="宋体" w:cs="Times New Roman"/>
        </w:rPr>
        <w:t>培训大纲</w:t>
      </w:r>
      <w:bookmarkEnd w:id="86"/>
      <w:bookmarkEnd w:id="87"/>
      <w:bookmarkEnd w:id="88"/>
      <w:bookmarkEnd w:id="89"/>
      <w:bookmarkEnd w:id="90"/>
      <w:bookmarkEnd w:id="91"/>
      <w:bookmarkEnd w:id="92"/>
      <w:bookmarkEnd w:id="93"/>
      <w:bookmarkEnd w:id="94"/>
      <w:bookmarkEnd w:id="95"/>
    </w:p>
    <w:p w14:paraId="734B1347">
      <w:pPr>
        <w:rPr>
          <w:rFonts w:hint="eastAsia" w:ascii="方正仿宋_GB2312" w:hAnsi="方正仿宋_GB2312" w:eastAsia="方正仿宋_GB2312" w:cs="方正仿宋_GB2312"/>
          <w:bCs/>
        </w:rPr>
      </w:pPr>
      <w:bookmarkStart w:id="96" w:name="_Toc18127"/>
      <w:bookmarkStart w:id="97" w:name="_Toc17925"/>
      <w:bookmarkStart w:id="98" w:name="_Toc10757"/>
      <w:bookmarkStart w:id="99" w:name="_Toc17396"/>
      <w:bookmarkStart w:id="100" w:name="_Toc2026"/>
      <w:bookmarkStart w:id="101" w:name="_Toc6689"/>
      <w:bookmarkStart w:id="102" w:name="_Toc30201"/>
      <w:bookmarkStart w:id="103" w:name="_Toc23839"/>
      <w:r>
        <w:rPr>
          <w:rFonts w:hint="eastAsia" w:ascii="黑体" w:eastAsia="黑体" w:cs="黑体"/>
          <w:bCs/>
        </w:rPr>
        <w:t>第十条</w:t>
      </w:r>
      <w:bookmarkEnd w:id="96"/>
      <w:bookmarkEnd w:id="97"/>
      <w:bookmarkEnd w:id="98"/>
      <w:bookmarkEnd w:id="99"/>
      <w:bookmarkEnd w:id="100"/>
      <w:bookmarkEnd w:id="101"/>
      <w:bookmarkEnd w:id="102"/>
      <w:bookmarkEnd w:id="103"/>
      <w:bookmarkStart w:id="104" w:name="_Toc14104"/>
      <w:bookmarkEnd w:id="104"/>
      <w:bookmarkStart w:id="105" w:name="_Toc20078"/>
      <w:bookmarkStart w:id="106" w:name="_Toc696"/>
      <w:bookmarkStart w:id="107" w:name="_Toc24561"/>
      <w:bookmarkStart w:id="108" w:name="_Toc7517"/>
      <w:bookmarkStart w:id="109" w:name="_Toc12138"/>
      <w:bookmarkStart w:id="110" w:name="_Toc19672"/>
      <w:bookmarkStart w:id="111" w:name="_Toc14230"/>
      <w:bookmarkStart w:id="112" w:name="_Toc6473"/>
      <w:bookmarkStart w:id="113" w:name="_Toc32390"/>
      <w:bookmarkStart w:id="114" w:name="_Toc23242"/>
      <w:r>
        <w:rPr>
          <w:rFonts w:hint="eastAsia" w:ascii="黑体" w:eastAsia="黑体" w:cs="黑体"/>
          <w:bCs/>
        </w:rPr>
        <w:t xml:space="preserve"> </w:t>
      </w:r>
      <w:r>
        <w:rPr>
          <w:rFonts w:hint="eastAsia" w:ascii="方正仿宋_GB2312" w:hAnsi="方正仿宋_GB2312" w:eastAsia="方正仿宋_GB2312" w:cs="方正仿宋_GB2312"/>
          <w:bCs/>
        </w:rPr>
        <w:t>相关单位应按照管理规定的要求制定</w:t>
      </w:r>
      <w:r>
        <w:rPr>
          <w:rFonts w:hint="eastAsia" w:ascii="方正仿宋_GB2312" w:hAnsi="方正仿宋_GB2312" w:eastAsia="方正仿宋_GB2312" w:cs="方正仿宋_GB2312"/>
        </w:rPr>
        <w:t>危险品培训大纲，内容包括但不限于</w:t>
      </w:r>
      <w:r>
        <w:rPr>
          <w:rFonts w:hint="eastAsia" w:ascii="方正仿宋_GB2312" w:hAnsi="方正仿宋_GB2312" w:eastAsia="方正仿宋_GB2312" w:cs="方正仿宋_GB2312"/>
          <w:bCs/>
        </w:rPr>
        <w:t>：</w:t>
      </w:r>
      <w:bookmarkEnd w:id="105"/>
      <w:bookmarkEnd w:id="106"/>
      <w:bookmarkEnd w:id="107"/>
      <w:bookmarkEnd w:id="108"/>
      <w:bookmarkEnd w:id="109"/>
      <w:bookmarkEnd w:id="110"/>
      <w:bookmarkEnd w:id="111"/>
      <w:bookmarkEnd w:id="112"/>
      <w:bookmarkEnd w:id="113"/>
      <w:bookmarkEnd w:id="114"/>
    </w:p>
    <w:p w14:paraId="11833A71">
      <w:pPr>
        <w:pStyle w:val="15"/>
        <w:numPr>
          <w:ilvl w:val="0"/>
          <w:numId w:val="3"/>
        </w:numPr>
        <w:ind w:left="180" w:firstLineChars="0"/>
        <w:rPr>
          <w:rFonts w:hint="eastAsia" w:ascii="方正仿宋_GB2312" w:hAnsi="方正仿宋_GB2312" w:eastAsia="方正仿宋_GB2312" w:cs="方正仿宋_GB2312"/>
        </w:rPr>
      </w:pPr>
      <w:bookmarkStart w:id="115" w:name="_Toc29498"/>
      <w:bookmarkStart w:id="116" w:name="_Toc27905"/>
      <w:bookmarkStart w:id="117" w:name="_Toc31313"/>
      <w:bookmarkStart w:id="118" w:name="_Toc7365"/>
      <w:bookmarkStart w:id="119" w:name="_Toc922"/>
      <w:bookmarkStart w:id="120" w:name="_Toc28086"/>
      <w:bookmarkStart w:id="121" w:name="_Toc20630"/>
      <w:bookmarkStart w:id="122" w:name="_Toc10504"/>
      <w:bookmarkStart w:id="123" w:name="_Toc14010"/>
      <w:bookmarkStart w:id="124" w:name="_Toc3116"/>
      <w:bookmarkStart w:id="125" w:name="_Toc9473"/>
      <w:r>
        <w:rPr>
          <w:rFonts w:hint="eastAsia" w:ascii="方正仿宋_GB2312" w:hAnsi="方正仿宋_GB2312" w:eastAsia="方正仿宋_GB2312" w:cs="方正仿宋_GB2312"/>
        </w:rPr>
        <w:t>符合相关规定的声明；</w:t>
      </w:r>
      <w:bookmarkEnd w:id="115"/>
      <w:bookmarkEnd w:id="116"/>
      <w:bookmarkEnd w:id="117"/>
      <w:bookmarkEnd w:id="118"/>
      <w:bookmarkEnd w:id="119"/>
      <w:bookmarkEnd w:id="120"/>
      <w:bookmarkEnd w:id="121"/>
      <w:bookmarkEnd w:id="122"/>
    </w:p>
    <w:p w14:paraId="47D0ADBB">
      <w:pPr>
        <w:pStyle w:val="15"/>
        <w:numPr>
          <w:ilvl w:val="0"/>
          <w:numId w:val="3"/>
        </w:numPr>
        <w:ind w:left="180" w:firstLineChars="0"/>
        <w:rPr>
          <w:rFonts w:hint="eastAsia" w:ascii="方正仿宋_GB2312" w:hAnsi="方正仿宋_GB2312" w:eastAsia="方正仿宋_GB2312" w:cs="方正仿宋_GB2312"/>
          <w:bCs/>
        </w:rPr>
      </w:pPr>
      <w:bookmarkStart w:id="126" w:name="_Toc7847"/>
      <w:bookmarkStart w:id="127" w:name="_Toc13698"/>
      <w:bookmarkStart w:id="128" w:name="_Toc7032"/>
      <w:bookmarkStart w:id="129" w:name="_Toc12178"/>
      <w:bookmarkStart w:id="130" w:name="_Toc27337"/>
      <w:bookmarkStart w:id="131" w:name="_Toc23078"/>
      <w:bookmarkStart w:id="132" w:name="_Toc25432"/>
      <w:bookmarkStart w:id="133" w:name="_Toc16801"/>
      <w:bookmarkStart w:id="134" w:name="OLE_LINK2"/>
      <w:r>
        <w:rPr>
          <w:rFonts w:hint="eastAsia" w:ascii="方正仿宋_GB2312" w:hAnsi="方正仿宋_GB2312" w:eastAsia="方正仿宋_GB2312" w:cs="方正仿宋_GB2312"/>
        </w:rPr>
        <w:t>实施培训的相关要求；</w:t>
      </w:r>
    </w:p>
    <w:p w14:paraId="614A68F1">
      <w:pPr>
        <w:pStyle w:val="15"/>
        <w:numPr>
          <w:ilvl w:val="0"/>
          <w:numId w:val="3"/>
        </w:numPr>
        <w:ind w:left="180" w:firstLineChars="0"/>
        <w:rPr>
          <w:rFonts w:hint="eastAsia" w:ascii="方正仿宋_GB2312" w:hAnsi="方正仿宋_GB2312" w:eastAsia="方正仿宋_GB2312" w:cs="方正仿宋_GB2312"/>
          <w:bCs/>
        </w:rPr>
      </w:pPr>
      <w:r>
        <w:rPr>
          <w:rFonts w:hint="eastAsia" w:ascii="方正仿宋_GB2312" w:hAnsi="方正仿宋_GB2312" w:eastAsia="方正仿宋_GB2312" w:cs="方正仿宋_GB2312"/>
        </w:rPr>
        <w:t>危险品培训方案。</w:t>
      </w:r>
    </w:p>
    <w:bookmarkEnd w:id="126"/>
    <w:p w14:paraId="3B9E9AA5">
      <w:pPr>
        <w:outlineLvl w:val="1"/>
        <w:rPr>
          <w:rFonts w:hint="eastAsia" w:ascii="方正仿宋_GB2312" w:hAnsi="方正仿宋_GB2312" w:eastAsia="方正仿宋_GB2312" w:cs="方正仿宋_GB2312"/>
        </w:rPr>
      </w:pPr>
      <w:bookmarkStart w:id="135" w:name="_Toc18741"/>
      <w:r>
        <w:rPr>
          <w:rFonts w:hint="eastAsia" w:ascii="黑体" w:eastAsia="黑体" w:cs="黑体"/>
          <w:bCs/>
        </w:rPr>
        <w:t xml:space="preserve">第十一条 </w:t>
      </w:r>
      <w:r>
        <w:rPr>
          <w:rFonts w:hint="eastAsia" w:ascii="方正仿宋_GB2312" w:hAnsi="方正仿宋_GB2312" w:eastAsia="方正仿宋_GB2312" w:cs="方正仿宋_GB2312"/>
        </w:rPr>
        <w:t>危险品培训大纲中应明确实施培训的要求，包括：</w:t>
      </w:r>
      <w:bookmarkEnd w:id="135"/>
    </w:p>
    <w:bookmarkEnd w:id="127"/>
    <w:bookmarkEnd w:id="128"/>
    <w:bookmarkEnd w:id="129"/>
    <w:p w14:paraId="6057B27E">
      <w:pPr>
        <w:outlineLvl w:val="2"/>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（一）培训范围和培训</w:t>
      </w:r>
      <w:bookmarkEnd w:id="130"/>
      <w:bookmarkEnd w:id="131"/>
      <w:bookmarkEnd w:id="132"/>
      <w:bookmarkEnd w:id="133"/>
      <w:r>
        <w:rPr>
          <w:rFonts w:hint="eastAsia" w:ascii="方正仿宋_GB2312" w:hAnsi="方正仿宋_GB2312" w:eastAsia="方正仿宋_GB2312" w:cs="方正仿宋_GB2312"/>
        </w:rPr>
        <w:t>目标</w:t>
      </w:r>
    </w:p>
    <w:p w14:paraId="0F128417">
      <w:pPr>
        <w:pStyle w:val="15"/>
        <w:numPr>
          <w:ilvl w:val="0"/>
          <w:numId w:val="4"/>
        </w:numPr>
        <w:ind w:left="18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相关单位应根据本单位的岗位设置，结合《危险品通用职责和培训课程最低课时》（见表1），确定本单位的危险品培训范围。</w:t>
      </w:r>
    </w:p>
    <w:p w14:paraId="0626121A">
      <w:pPr>
        <w:pStyle w:val="15"/>
        <w:numPr>
          <w:ilvl w:val="0"/>
          <w:numId w:val="4"/>
        </w:numPr>
        <w:ind w:left="18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相关单位应对培训范围中的各职责进行分析，制定任务清单，列明各职责的相应任务，说明各职责的培训目标。</w:t>
      </w:r>
    </w:p>
    <w:p w14:paraId="35B8F2C6">
      <w:pPr>
        <w:outlineLvl w:val="2"/>
        <w:rPr>
          <w:rFonts w:hint="eastAsia" w:ascii="方正仿宋_GB2312" w:hAnsi="方正仿宋_GB2312" w:eastAsia="方正仿宋_GB2312" w:cs="方正仿宋_GB2312"/>
        </w:rPr>
      </w:pPr>
      <w:bookmarkStart w:id="136" w:name="_Toc7337"/>
      <w:bookmarkStart w:id="137" w:name="_Toc32723"/>
      <w:bookmarkStart w:id="138" w:name="_Toc18892"/>
      <w:bookmarkStart w:id="139" w:name="_Toc2636"/>
      <w:bookmarkStart w:id="140" w:name="_Toc25554"/>
      <w:bookmarkStart w:id="141" w:name="_Toc8692"/>
      <w:bookmarkStart w:id="142" w:name="_Toc23616"/>
      <w:bookmarkStart w:id="143" w:name="_Toc2963"/>
      <w:r>
        <w:rPr>
          <w:rFonts w:hint="eastAsia" w:ascii="方正仿宋_GB2312" w:hAnsi="方正仿宋_GB2312" w:eastAsia="方正仿宋_GB2312" w:cs="方正仿宋_GB2312"/>
        </w:rPr>
        <w:t>（二）培训类别和培训周期</w:t>
      </w:r>
      <w:bookmarkEnd w:id="136"/>
      <w:bookmarkEnd w:id="137"/>
      <w:bookmarkEnd w:id="138"/>
      <w:bookmarkEnd w:id="139"/>
      <w:bookmarkEnd w:id="140"/>
      <w:bookmarkEnd w:id="141"/>
      <w:bookmarkEnd w:id="142"/>
      <w:bookmarkEnd w:id="143"/>
    </w:p>
    <w:p w14:paraId="2A8F1C3D">
      <w:pPr>
        <w:rPr>
          <w:rFonts w:hint="eastAsia" w:ascii="方正仿宋_GB2312" w:hAnsi="方正仿宋_GB2312" w:eastAsia="方正仿宋_GB2312" w:cs="方正仿宋_GB2312"/>
        </w:rPr>
      </w:pPr>
      <w:bookmarkStart w:id="144" w:name="_Toc20995"/>
      <w:bookmarkStart w:id="145" w:name="_Toc13947"/>
      <w:bookmarkStart w:id="146" w:name="_Toc9702"/>
      <w:bookmarkStart w:id="147" w:name="_Toc9191"/>
      <w:bookmarkStart w:id="148" w:name="_Toc32646"/>
      <w:bookmarkStart w:id="149" w:name="_Toc13671"/>
      <w:bookmarkStart w:id="150" w:name="_Toc3218"/>
      <w:bookmarkStart w:id="151" w:name="_Toc29354"/>
      <w:r>
        <w:rPr>
          <w:rFonts w:hint="eastAsia" w:ascii="方正仿宋_GB2312" w:hAnsi="方正仿宋_GB2312" w:eastAsia="方正仿宋_GB2312" w:cs="方正仿宋_GB2312"/>
        </w:rPr>
        <w:t>危险品培训分为初训和复训两个类别。初训为从业人员进入岗位前、以及前一次培训超过有效期，使从业人员取得相应危险品职责胜任能力的培训；复训为已接受过培训且在培训有效期内，使从业人员持续保持危险品职责胜任能力的培训。</w:t>
      </w:r>
      <w:bookmarkEnd w:id="144"/>
    </w:p>
    <w:p w14:paraId="43FCD758">
      <w:pPr>
        <w:rPr>
          <w:rFonts w:hint="eastAsia" w:ascii="方正仿宋_GB2312" w:hAnsi="方正仿宋_GB2312" w:eastAsia="方正仿宋_GB2312" w:cs="方正仿宋_GB2312"/>
        </w:rPr>
      </w:pPr>
      <w:bookmarkStart w:id="152" w:name="_Toc29663"/>
      <w:r>
        <w:rPr>
          <w:rFonts w:hint="eastAsia" w:ascii="方正仿宋_GB2312" w:hAnsi="方正仿宋_GB2312" w:eastAsia="方正仿宋_GB2312" w:cs="方正仿宋_GB2312"/>
        </w:rPr>
        <w:t>危险品培训有效期为二十四个月。</w:t>
      </w:r>
      <w:bookmarkEnd w:id="145"/>
      <w:bookmarkEnd w:id="146"/>
      <w:bookmarkEnd w:id="147"/>
      <w:bookmarkEnd w:id="148"/>
      <w:bookmarkEnd w:id="149"/>
      <w:bookmarkEnd w:id="150"/>
      <w:bookmarkStart w:id="153" w:name="_Toc607"/>
      <w:bookmarkStart w:id="154" w:name="_Toc11659"/>
      <w:bookmarkStart w:id="155" w:name="_Toc20153"/>
      <w:bookmarkStart w:id="156" w:name="_Toc10412"/>
      <w:r>
        <w:rPr>
          <w:rFonts w:hint="eastAsia" w:ascii="方正仿宋_GB2312" w:hAnsi="方正仿宋_GB2312" w:eastAsia="方正仿宋_GB2312" w:cs="方正仿宋_GB2312"/>
        </w:rPr>
        <w:t>如复训在前一次培训有效期内的最后三个月完成，则该次复训的有效期仍以前一次培训失效月起延期二十四个月。</w:t>
      </w:r>
      <w:bookmarkEnd w:id="152"/>
      <w:bookmarkEnd w:id="153"/>
      <w:bookmarkEnd w:id="154"/>
      <w:bookmarkEnd w:id="155"/>
      <w:bookmarkEnd w:id="156"/>
    </w:p>
    <w:bookmarkEnd w:id="151"/>
    <w:p w14:paraId="67F3C83B">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（三）人员的要求</w:t>
      </w:r>
    </w:p>
    <w:p w14:paraId="3FF234FB">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应说明参训人员、教员、评估人员、成绩核准或合格签注人员、培训管理人员（如适用）的条件和要求。</w:t>
      </w:r>
    </w:p>
    <w:p w14:paraId="55DDB1F4">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（四）培训记录的要求。</w:t>
      </w:r>
    </w:p>
    <w:p w14:paraId="64CCAE11">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（五）合格证明的形式和管理要求。</w:t>
      </w:r>
    </w:p>
    <w:p w14:paraId="68D4C901">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（六）培训大纲的制定、修订和维护的要求。</w:t>
      </w:r>
    </w:p>
    <w:p w14:paraId="078F0E3F">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（七）授权或委托危险品培训机构的条件（如适用）、培训协议（如适用）的相关要求。</w:t>
      </w:r>
    </w:p>
    <w:bookmarkEnd w:id="134"/>
    <w:p w14:paraId="2A268FF6">
      <w:pPr>
        <w:rPr>
          <w:rFonts w:hint="eastAsia" w:ascii="方正仿宋_GB2312" w:hAnsi="方正仿宋_GB2312" w:eastAsia="方正仿宋_GB2312" w:cs="方正仿宋_GB2312"/>
        </w:rPr>
      </w:pPr>
      <w:bookmarkStart w:id="157" w:name="_Toc23648"/>
      <w:bookmarkStart w:id="158" w:name="_Toc25420"/>
      <w:bookmarkStart w:id="159" w:name="_Toc6237"/>
      <w:bookmarkStart w:id="160" w:name="_Toc27180"/>
      <w:bookmarkStart w:id="161" w:name="_Toc1862"/>
      <w:bookmarkStart w:id="162" w:name="_Toc18136"/>
      <w:bookmarkStart w:id="163" w:name="_Toc22157"/>
      <w:bookmarkStart w:id="164" w:name="_Toc9764"/>
      <w:r>
        <w:rPr>
          <w:rFonts w:hint="eastAsia" w:ascii="黑体" w:eastAsia="黑体" w:cs="黑体"/>
          <w:bCs/>
        </w:rPr>
        <w:t>第十二条</w:t>
      </w:r>
      <w:bookmarkEnd w:id="123"/>
      <w:bookmarkEnd w:id="124"/>
      <w:bookmarkEnd w:id="157"/>
      <w:bookmarkEnd w:id="158"/>
      <w:bookmarkEnd w:id="159"/>
      <w:bookmarkEnd w:id="160"/>
      <w:bookmarkEnd w:id="161"/>
      <w:bookmarkEnd w:id="162"/>
      <w:bookmarkEnd w:id="163"/>
      <w:bookmarkEnd w:id="164"/>
      <w:bookmarkStart w:id="165" w:name="_Toc21398"/>
      <w:bookmarkStart w:id="166" w:name="_Toc1567"/>
      <w:bookmarkStart w:id="167" w:name="_Toc27680"/>
      <w:bookmarkStart w:id="168" w:name="_Toc22915"/>
      <w:bookmarkStart w:id="169" w:name="_Toc16855"/>
      <w:r>
        <w:rPr>
          <w:rFonts w:hint="eastAsia" w:ascii="黑体" w:eastAsia="黑体" w:cs="黑体"/>
          <w:bCs/>
        </w:rPr>
        <w:t xml:space="preserve"> </w:t>
      </w:r>
      <w:r>
        <w:rPr>
          <w:rFonts w:hint="eastAsia" w:ascii="方正仿宋_GB2312" w:hAnsi="方正仿宋_GB2312" w:eastAsia="方正仿宋_GB2312" w:cs="方正仿宋_GB2312"/>
        </w:rPr>
        <w:t>相关单位应根据相关岗位危险品职责</w:t>
      </w:r>
      <w:bookmarkEnd w:id="165"/>
      <w:bookmarkEnd w:id="166"/>
      <w:bookmarkStart w:id="170" w:name="_Toc17237"/>
      <w:bookmarkStart w:id="171" w:name="_Toc7463"/>
      <w:r>
        <w:rPr>
          <w:rFonts w:hint="eastAsia" w:ascii="方正仿宋_GB2312" w:hAnsi="方正仿宋_GB2312" w:eastAsia="方正仿宋_GB2312" w:cs="方正仿宋_GB2312"/>
        </w:rPr>
        <w:t>所需胜任能力制定危险品培训方案，</w:t>
      </w:r>
      <w:bookmarkEnd w:id="170"/>
      <w:r>
        <w:rPr>
          <w:rFonts w:hint="eastAsia" w:ascii="方正仿宋_GB2312" w:hAnsi="方正仿宋_GB2312" w:eastAsia="方正仿宋_GB2312" w:cs="方正仿宋_GB2312"/>
        </w:rPr>
        <w:t>包括：</w:t>
      </w:r>
      <w:bookmarkEnd w:id="167"/>
      <w:bookmarkEnd w:id="168"/>
      <w:bookmarkEnd w:id="169"/>
      <w:bookmarkEnd w:id="171"/>
    </w:p>
    <w:p w14:paraId="7B726F79">
      <w:pPr>
        <w:rPr>
          <w:rFonts w:hint="eastAsia" w:ascii="方正仿宋_GB2312" w:hAnsi="方正仿宋_GB2312" w:eastAsia="方正仿宋_GB2312" w:cs="方正仿宋_GB2312"/>
          <w:bCs/>
        </w:rPr>
      </w:pPr>
      <w:r>
        <w:rPr>
          <w:rFonts w:hint="eastAsia" w:ascii="方正仿宋_GB2312" w:hAnsi="方正仿宋_GB2312" w:eastAsia="方正仿宋_GB2312" w:cs="方正仿宋_GB2312"/>
        </w:rPr>
        <w:t>（一）相关岗位危险品职责的各项任务应具备的胜任能力及其胜任能力标准。</w:t>
      </w:r>
    </w:p>
    <w:p w14:paraId="34853E9E">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（二）相关危险品职责取得胜任能力应接受的培训内容、课程设置以及实施要求。</w:t>
      </w:r>
    </w:p>
    <w:p w14:paraId="66456971">
      <w:pPr>
        <w:ind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表1危险品通用职责和培训课程最低课时</w:t>
      </w:r>
    </w:p>
    <w:tbl>
      <w:tblPr>
        <w:tblStyle w:val="11"/>
        <w:tblW w:w="8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4905"/>
        <w:gridCol w:w="1605"/>
        <w:gridCol w:w="1545"/>
      </w:tblGrid>
      <w:tr w14:paraId="1F83C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vAlign w:val="center"/>
          </w:tcPr>
          <w:p w14:paraId="48C385DF">
            <w:pPr>
              <w:ind w:firstLine="0" w:firstLineChars="0"/>
              <w:rPr>
                <w:rFonts w:hint="eastAsia" w:hAnsi="宋体"/>
                <w:b/>
                <w:bCs/>
                <w:sz w:val="24"/>
                <w:szCs w:val="24"/>
              </w:rPr>
            </w:pPr>
            <w:r>
              <w:rPr>
                <w:rFonts w:hint="eastAsia" w:hAnsi="宋体"/>
                <w:b/>
                <w:bCs/>
                <w:sz w:val="24"/>
                <w:szCs w:val="24"/>
              </w:rPr>
              <w:t>序号</w:t>
            </w:r>
          </w:p>
        </w:tc>
        <w:tc>
          <w:tcPr>
            <w:tcW w:w="4905" w:type="dxa"/>
            <w:tcBorders>
              <w:top w:val="single" w:color="auto" w:sz="4" w:space="0"/>
              <w:left w:val="nil"/>
              <w:bottom w:val="single" w:color="auto" w:sz="4" w:space="0"/>
              <w:right w:val="single" w:color="auto" w:sz="4" w:space="0"/>
            </w:tcBorders>
            <w:vAlign w:val="center"/>
          </w:tcPr>
          <w:p w14:paraId="17B7B06D">
            <w:pPr>
              <w:ind w:firstLine="0" w:firstLineChars="0"/>
              <w:jc w:val="center"/>
              <w:rPr>
                <w:rFonts w:hint="eastAsia" w:hAnsi="宋体"/>
                <w:b/>
                <w:bCs/>
                <w:sz w:val="24"/>
                <w:szCs w:val="24"/>
              </w:rPr>
            </w:pPr>
            <w:r>
              <w:rPr>
                <w:rFonts w:hint="eastAsia" w:hAnsi="宋体"/>
                <w:b/>
                <w:bCs/>
                <w:sz w:val="24"/>
                <w:szCs w:val="24"/>
              </w:rPr>
              <w:t>危险品通用职责</w:t>
            </w:r>
          </w:p>
        </w:tc>
        <w:tc>
          <w:tcPr>
            <w:tcW w:w="1605" w:type="dxa"/>
            <w:tcBorders>
              <w:top w:val="single" w:color="auto" w:sz="4" w:space="0"/>
              <w:left w:val="nil"/>
              <w:bottom w:val="single" w:color="auto" w:sz="4" w:space="0"/>
              <w:right w:val="single" w:color="auto" w:sz="4" w:space="0"/>
            </w:tcBorders>
            <w:vAlign w:val="center"/>
          </w:tcPr>
          <w:p w14:paraId="2B5E2ADA">
            <w:pPr>
              <w:ind w:firstLine="0" w:firstLineChars="0"/>
              <w:jc w:val="center"/>
              <w:rPr>
                <w:rFonts w:hint="eastAsia" w:hAnsi="宋体"/>
                <w:b/>
                <w:bCs/>
                <w:sz w:val="24"/>
                <w:szCs w:val="24"/>
              </w:rPr>
            </w:pPr>
            <w:r>
              <w:rPr>
                <w:rFonts w:hint="eastAsia" w:hAnsi="宋体"/>
                <w:b/>
                <w:bCs/>
                <w:sz w:val="24"/>
                <w:szCs w:val="24"/>
              </w:rPr>
              <w:t>初训课时</w:t>
            </w:r>
          </w:p>
        </w:tc>
        <w:tc>
          <w:tcPr>
            <w:tcW w:w="1545" w:type="dxa"/>
            <w:tcBorders>
              <w:top w:val="single" w:color="auto" w:sz="4" w:space="0"/>
              <w:left w:val="nil"/>
              <w:bottom w:val="single" w:color="auto" w:sz="4" w:space="0"/>
              <w:right w:val="single" w:color="auto" w:sz="4" w:space="0"/>
            </w:tcBorders>
            <w:vAlign w:val="center"/>
          </w:tcPr>
          <w:p w14:paraId="257416EA">
            <w:pPr>
              <w:ind w:firstLine="0" w:firstLineChars="0"/>
              <w:jc w:val="center"/>
              <w:rPr>
                <w:rFonts w:hint="eastAsia" w:hAnsi="宋体"/>
                <w:b/>
                <w:bCs/>
                <w:sz w:val="24"/>
                <w:szCs w:val="24"/>
              </w:rPr>
            </w:pPr>
            <w:r>
              <w:rPr>
                <w:rFonts w:hint="eastAsia" w:hAnsi="宋体"/>
                <w:b/>
                <w:bCs/>
                <w:sz w:val="24"/>
                <w:szCs w:val="24"/>
              </w:rPr>
              <w:t>复训课时</w:t>
            </w:r>
          </w:p>
        </w:tc>
      </w:tr>
      <w:tr w14:paraId="2728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vAlign w:val="center"/>
          </w:tcPr>
          <w:p w14:paraId="29C98EBC">
            <w:pPr>
              <w:ind w:firstLine="0" w:firstLineChars="0"/>
              <w:jc w:val="center"/>
              <w:rPr>
                <w:rFonts w:hint="eastAsia" w:hAnsi="宋体" w:cs="宋体"/>
                <w:sz w:val="24"/>
                <w:szCs w:val="24"/>
              </w:rPr>
            </w:pPr>
            <w:r>
              <w:rPr>
                <w:rFonts w:hint="eastAsia" w:hAnsi="宋体" w:cs="宋体"/>
                <w:sz w:val="24"/>
                <w:szCs w:val="24"/>
              </w:rPr>
              <w:t>1</w:t>
            </w:r>
          </w:p>
        </w:tc>
        <w:tc>
          <w:tcPr>
            <w:tcW w:w="4905" w:type="dxa"/>
            <w:tcBorders>
              <w:top w:val="single" w:color="auto" w:sz="4" w:space="0"/>
              <w:left w:val="nil"/>
              <w:bottom w:val="single" w:color="auto" w:sz="4" w:space="0"/>
              <w:right w:val="single" w:color="auto" w:sz="4" w:space="0"/>
            </w:tcBorders>
            <w:vAlign w:val="center"/>
          </w:tcPr>
          <w:p w14:paraId="2D92012F">
            <w:pPr>
              <w:ind w:firstLine="0" w:firstLineChars="0"/>
              <w:rPr>
                <w:rFonts w:hint="eastAsia" w:hAnsi="宋体" w:cs="宋体"/>
                <w:sz w:val="24"/>
                <w:szCs w:val="24"/>
              </w:rPr>
            </w:pPr>
            <w:r>
              <w:rPr>
                <w:rFonts w:hint="eastAsia" w:hAnsi="宋体" w:cs="宋体"/>
                <w:sz w:val="24"/>
                <w:szCs w:val="24"/>
              </w:rPr>
              <w:t>准备托运的危险品货物</w:t>
            </w:r>
          </w:p>
        </w:tc>
        <w:tc>
          <w:tcPr>
            <w:tcW w:w="1605" w:type="dxa"/>
            <w:tcBorders>
              <w:top w:val="single" w:color="auto" w:sz="4" w:space="0"/>
              <w:left w:val="nil"/>
              <w:bottom w:val="single" w:color="auto" w:sz="4" w:space="0"/>
              <w:right w:val="single" w:color="auto" w:sz="4" w:space="0"/>
            </w:tcBorders>
            <w:vAlign w:val="center"/>
          </w:tcPr>
          <w:p w14:paraId="7D0BAC07">
            <w:pPr>
              <w:ind w:firstLine="0" w:firstLineChars="0"/>
              <w:jc w:val="center"/>
              <w:rPr>
                <w:rFonts w:hint="eastAsia" w:hAnsi="宋体" w:cs="宋体"/>
                <w:sz w:val="24"/>
                <w:szCs w:val="24"/>
              </w:rPr>
            </w:pPr>
            <w:r>
              <w:rPr>
                <w:rFonts w:hint="eastAsia" w:hAnsi="宋体" w:cs="宋体"/>
                <w:sz w:val="24"/>
                <w:szCs w:val="24"/>
              </w:rPr>
              <w:t>30</w:t>
            </w:r>
          </w:p>
        </w:tc>
        <w:tc>
          <w:tcPr>
            <w:tcW w:w="1545" w:type="dxa"/>
            <w:tcBorders>
              <w:top w:val="single" w:color="auto" w:sz="4" w:space="0"/>
              <w:left w:val="nil"/>
              <w:bottom w:val="single" w:color="auto" w:sz="4" w:space="0"/>
              <w:right w:val="single" w:color="auto" w:sz="4" w:space="0"/>
            </w:tcBorders>
            <w:vAlign w:val="center"/>
          </w:tcPr>
          <w:p w14:paraId="477DCD0B">
            <w:pPr>
              <w:ind w:firstLine="0" w:firstLineChars="0"/>
              <w:jc w:val="center"/>
              <w:rPr>
                <w:rFonts w:hint="eastAsia" w:hAnsi="宋体" w:cs="宋体"/>
                <w:sz w:val="24"/>
                <w:szCs w:val="24"/>
              </w:rPr>
            </w:pPr>
            <w:r>
              <w:rPr>
                <w:rFonts w:hint="eastAsia" w:hAnsi="宋体" w:cs="宋体"/>
                <w:sz w:val="24"/>
                <w:szCs w:val="24"/>
              </w:rPr>
              <w:t>18</w:t>
            </w:r>
          </w:p>
        </w:tc>
      </w:tr>
      <w:tr w14:paraId="67319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vAlign w:val="center"/>
          </w:tcPr>
          <w:p w14:paraId="1EF2EDC3">
            <w:pPr>
              <w:ind w:firstLine="0" w:firstLineChars="0"/>
              <w:jc w:val="center"/>
              <w:rPr>
                <w:rFonts w:hint="eastAsia" w:hAnsi="宋体" w:cs="宋体"/>
                <w:sz w:val="24"/>
                <w:szCs w:val="24"/>
              </w:rPr>
            </w:pPr>
            <w:r>
              <w:rPr>
                <w:rFonts w:hint="eastAsia" w:hAnsi="宋体" w:cs="宋体"/>
                <w:sz w:val="24"/>
                <w:szCs w:val="24"/>
              </w:rPr>
              <w:t>2</w:t>
            </w:r>
          </w:p>
        </w:tc>
        <w:tc>
          <w:tcPr>
            <w:tcW w:w="4905" w:type="dxa"/>
            <w:tcBorders>
              <w:top w:val="single" w:color="auto" w:sz="4" w:space="0"/>
              <w:left w:val="nil"/>
              <w:bottom w:val="single" w:color="auto" w:sz="4" w:space="0"/>
              <w:right w:val="single" w:color="auto" w:sz="4" w:space="0"/>
            </w:tcBorders>
            <w:vAlign w:val="center"/>
          </w:tcPr>
          <w:p w14:paraId="3CEB568E">
            <w:pPr>
              <w:widowControl/>
              <w:ind w:firstLine="0" w:firstLineChars="0"/>
              <w:rPr>
                <w:rFonts w:hint="eastAsia" w:hAnsi="宋体" w:cs="宋体"/>
                <w:sz w:val="24"/>
                <w:szCs w:val="24"/>
              </w:rPr>
            </w:pPr>
            <w:r>
              <w:rPr>
                <w:rFonts w:hint="eastAsia" w:hAnsi="宋体" w:cs="宋体"/>
                <w:sz w:val="24"/>
                <w:szCs w:val="24"/>
              </w:rPr>
              <w:t>办理或接收普通货物运输（非危险品）</w:t>
            </w:r>
          </w:p>
        </w:tc>
        <w:tc>
          <w:tcPr>
            <w:tcW w:w="1605" w:type="dxa"/>
            <w:tcBorders>
              <w:top w:val="single" w:color="auto" w:sz="4" w:space="0"/>
              <w:left w:val="nil"/>
              <w:bottom w:val="single" w:color="auto" w:sz="4" w:space="0"/>
              <w:right w:val="single" w:color="auto" w:sz="4" w:space="0"/>
            </w:tcBorders>
            <w:vAlign w:val="center"/>
          </w:tcPr>
          <w:p w14:paraId="5D5E2A1A">
            <w:pPr>
              <w:ind w:firstLine="0" w:firstLineChars="0"/>
              <w:jc w:val="center"/>
              <w:rPr>
                <w:rFonts w:hint="eastAsia" w:hAnsi="宋体" w:cs="宋体"/>
                <w:sz w:val="24"/>
                <w:szCs w:val="24"/>
              </w:rPr>
            </w:pPr>
            <w:r>
              <w:rPr>
                <w:rFonts w:hint="eastAsia" w:hAnsi="宋体" w:cs="宋体"/>
                <w:sz w:val="24"/>
                <w:szCs w:val="24"/>
              </w:rPr>
              <w:t>9</w:t>
            </w:r>
          </w:p>
        </w:tc>
        <w:tc>
          <w:tcPr>
            <w:tcW w:w="1545" w:type="dxa"/>
            <w:tcBorders>
              <w:top w:val="single" w:color="auto" w:sz="4" w:space="0"/>
              <w:left w:val="nil"/>
              <w:bottom w:val="single" w:color="auto" w:sz="4" w:space="0"/>
              <w:right w:val="single" w:color="auto" w:sz="4" w:space="0"/>
            </w:tcBorders>
            <w:vAlign w:val="center"/>
          </w:tcPr>
          <w:p w14:paraId="53BC106E">
            <w:pPr>
              <w:ind w:firstLine="0" w:firstLineChars="0"/>
              <w:jc w:val="center"/>
              <w:rPr>
                <w:rFonts w:hint="eastAsia" w:hAnsi="宋体" w:cs="宋体"/>
                <w:sz w:val="24"/>
                <w:szCs w:val="24"/>
              </w:rPr>
            </w:pPr>
            <w:r>
              <w:rPr>
                <w:rFonts w:hint="eastAsia" w:hAnsi="宋体" w:cs="宋体"/>
                <w:sz w:val="24"/>
                <w:szCs w:val="24"/>
              </w:rPr>
              <w:t>5</w:t>
            </w:r>
          </w:p>
        </w:tc>
      </w:tr>
      <w:tr w14:paraId="2A982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vAlign w:val="center"/>
          </w:tcPr>
          <w:p w14:paraId="620CBD2A">
            <w:pPr>
              <w:ind w:firstLine="0" w:firstLineChars="0"/>
              <w:jc w:val="center"/>
              <w:rPr>
                <w:rFonts w:hint="eastAsia" w:hAnsi="宋体" w:cs="宋体"/>
                <w:sz w:val="24"/>
                <w:szCs w:val="24"/>
              </w:rPr>
            </w:pPr>
            <w:r>
              <w:rPr>
                <w:rFonts w:hint="eastAsia" w:hAnsi="宋体" w:cs="宋体"/>
                <w:sz w:val="24"/>
                <w:szCs w:val="24"/>
              </w:rPr>
              <w:t>3</w:t>
            </w:r>
          </w:p>
        </w:tc>
        <w:tc>
          <w:tcPr>
            <w:tcW w:w="4905" w:type="dxa"/>
            <w:tcBorders>
              <w:top w:val="single" w:color="auto" w:sz="4" w:space="0"/>
              <w:left w:val="nil"/>
              <w:bottom w:val="single" w:color="auto" w:sz="4" w:space="0"/>
              <w:right w:val="single" w:color="auto" w:sz="4" w:space="0"/>
            </w:tcBorders>
            <w:vAlign w:val="center"/>
          </w:tcPr>
          <w:p w14:paraId="2B654734">
            <w:pPr>
              <w:widowControl/>
              <w:ind w:firstLine="0" w:firstLineChars="0"/>
              <w:rPr>
                <w:rFonts w:hint="eastAsia" w:hAnsi="宋体" w:cs="宋体"/>
                <w:sz w:val="24"/>
                <w:szCs w:val="24"/>
              </w:rPr>
            </w:pPr>
            <w:r>
              <w:rPr>
                <w:rFonts w:hint="eastAsia" w:hAnsi="宋体" w:cs="宋体"/>
                <w:sz w:val="24"/>
                <w:szCs w:val="24"/>
              </w:rPr>
              <w:t>办理或接收危险品货物运输</w:t>
            </w:r>
          </w:p>
        </w:tc>
        <w:tc>
          <w:tcPr>
            <w:tcW w:w="1605" w:type="dxa"/>
            <w:tcBorders>
              <w:top w:val="single" w:color="auto" w:sz="4" w:space="0"/>
              <w:left w:val="nil"/>
              <w:bottom w:val="single" w:color="auto" w:sz="4" w:space="0"/>
              <w:right w:val="single" w:color="auto" w:sz="4" w:space="0"/>
            </w:tcBorders>
            <w:vAlign w:val="center"/>
          </w:tcPr>
          <w:p w14:paraId="173E26B8">
            <w:pPr>
              <w:ind w:firstLine="0" w:firstLineChars="0"/>
              <w:jc w:val="center"/>
              <w:rPr>
                <w:rFonts w:hint="eastAsia" w:hAnsi="宋体" w:cs="宋体"/>
                <w:sz w:val="24"/>
                <w:szCs w:val="24"/>
              </w:rPr>
            </w:pPr>
            <w:r>
              <w:rPr>
                <w:rFonts w:hint="eastAsia" w:hAnsi="宋体" w:cs="宋体"/>
                <w:sz w:val="24"/>
                <w:szCs w:val="24"/>
              </w:rPr>
              <w:t>30</w:t>
            </w:r>
          </w:p>
        </w:tc>
        <w:tc>
          <w:tcPr>
            <w:tcW w:w="1545" w:type="dxa"/>
            <w:tcBorders>
              <w:top w:val="single" w:color="auto" w:sz="4" w:space="0"/>
              <w:left w:val="nil"/>
              <w:bottom w:val="single" w:color="auto" w:sz="4" w:space="0"/>
              <w:right w:val="single" w:color="auto" w:sz="4" w:space="0"/>
            </w:tcBorders>
            <w:vAlign w:val="center"/>
          </w:tcPr>
          <w:p w14:paraId="7F33AA3F">
            <w:pPr>
              <w:ind w:firstLine="0" w:firstLineChars="0"/>
              <w:jc w:val="center"/>
              <w:rPr>
                <w:rFonts w:hint="eastAsia" w:hAnsi="宋体" w:cs="宋体"/>
                <w:sz w:val="24"/>
                <w:szCs w:val="24"/>
              </w:rPr>
            </w:pPr>
            <w:r>
              <w:rPr>
                <w:rFonts w:hint="eastAsia" w:hAnsi="宋体" w:cs="宋体"/>
                <w:sz w:val="24"/>
                <w:szCs w:val="24"/>
              </w:rPr>
              <w:t>18</w:t>
            </w:r>
          </w:p>
        </w:tc>
      </w:tr>
      <w:tr w14:paraId="4AEF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vAlign w:val="center"/>
          </w:tcPr>
          <w:p w14:paraId="39E1FF74">
            <w:pPr>
              <w:ind w:firstLine="0" w:firstLineChars="0"/>
              <w:jc w:val="center"/>
              <w:rPr>
                <w:rFonts w:hint="eastAsia" w:hAnsi="宋体" w:cs="宋体"/>
                <w:sz w:val="24"/>
                <w:szCs w:val="24"/>
              </w:rPr>
            </w:pPr>
            <w:r>
              <w:rPr>
                <w:rFonts w:hint="eastAsia" w:hAnsi="宋体" w:cs="宋体"/>
                <w:sz w:val="24"/>
                <w:szCs w:val="24"/>
              </w:rPr>
              <w:t>4</w:t>
            </w:r>
          </w:p>
        </w:tc>
        <w:tc>
          <w:tcPr>
            <w:tcW w:w="4905" w:type="dxa"/>
            <w:tcBorders>
              <w:top w:val="single" w:color="auto" w:sz="4" w:space="0"/>
              <w:left w:val="nil"/>
              <w:bottom w:val="single" w:color="auto" w:sz="4" w:space="0"/>
              <w:right w:val="single" w:color="auto" w:sz="4" w:space="0"/>
            </w:tcBorders>
            <w:vAlign w:val="center"/>
          </w:tcPr>
          <w:p w14:paraId="55F304D6">
            <w:pPr>
              <w:widowControl/>
              <w:ind w:firstLine="0" w:firstLineChars="0"/>
              <w:rPr>
                <w:rFonts w:hint="eastAsia" w:hAnsi="宋体" w:cs="宋体"/>
                <w:sz w:val="24"/>
                <w:szCs w:val="24"/>
              </w:rPr>
            </w:pPr>
            <w:r>
              <w:rPr>
                <w:rFonts w:hint="eastAsia" w:hAnsi="宋体" w:cs="宋体"/>
                <w:sz w:val="24"/>
                <w:szCs w:val="24"/>
              </w:rPr>
              <w:t>处理仓库货物、装载和卸载集装器以及装载和卸载飞机货舱</w:t>
            </w:r>
          </w:p>
        </w:tc>
        <w:tc>
          <w:tcPr>
            <w:tcW w:w="1605" w:type="dxa"/>
            <w:tcBorders>
              <w:top w:val="single" w:color="auto" w:sz="4" w:space="0"/>
              <w:left w:val="nil"/>
              <w:bottom w:val="single" w:color="auto" w:sz="4" w:space="0"/>
              <w:right w:val="single" w:color="auto" w:sz="4" w:space="0"/>
            </w:tcBorders>
            <w:vAlign w:val="center"/>
          </w:tcPr>
          <w:p w14:paraId="0A1B1CF2">
            <w:pPr>
              <w:ind w:firstLine="0" w:firstLineChars="0"/>
              <w:jc w:val="center"/>
              <w:rPr>
                <w:rFonts w:hint="eastAsia" w:hAnsi="宋体" w:cs="宋体"/>
                <w:sz w:val="24"/>
                <w:szCs w:val="24"/>
              </w:rPr>
            </w:pPr>
            <w:r>
              <w:rPr>
                <w:rFonts w:hint="eastAsia" w:hAnsi="宋体" w:cs="宋体"/>
                <w:sz w:val="24"/>
                <w:szCs w:val="24"/>
              </w:rPr>
              <w:t>9</w:t>
            </w:r>
          </w:p>
        </w:tc>
        <w:tc>
          <w:tcPr>
            <w:tcW w:w="1545" w:type="dxa"/>
            <w:tcBorders>
              <w:top w:val="single" w:color="auto" w:sz="4" w:space="0"/>
              <w:left w:val="nil"/>
              <w:bottom w:val="single" w:color="auto" w:sz="4" w:space="0"/>
              <w:right w:val="single" w:color="auto" w:sz="4" w:space="0"/>
            </w:tcBorders>
            <w:vAlign w:val="center"/>
          </w:tcPr>
          <w:p w14:paraId="4B9026CD">
            <w:pPr>
              <w:ind w:firstLine="0" w:firstLineChars="0"/>
              <w:jc w:val="center"/>
              <w:rPr>
                <w:rFonts w:hint="eastAsia" w:hAnsi="宋体" w:cs="宋体"/>
                <w:sz w:val="24"/>
                <w:szCs w:val="24"/>
              </w:rPr>
            </w:pPr>
            <w:r>
              <w:rPr>
                <w:rFonts w:hint="eastAsia" w:hAnsi="宋体" w:cs="宋体"/>
                <w:sz w:val="24"/>
                <w:szCs w:val="24"/>
              </w:rPr>
              <w:t>5</w:t>
            </w:r>
          </w:p>
        </w:tc>
      </w:tr>
      <w:tr w14:paraId="15EB6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vAlign w:val="center"/>
          </w:tcPr>
          <w:p w14:paraId="2B9A00FA">
            <w:pPr>
              <w:ind w:firstLine="0" w:firstLineChars="0"/>
              <w:jc w:val="center"/>
              <w:rPr>
                <w:rFonts w:hint="eastAsia" w:hAnsi="宋体" w:cs="宋体"/>
                <w:sz w:val="24"/>
                <w:szCs w:val="24"/>
              </w:rPr>
            </w:pPr>
            <w:r>
              <w:rPr>
                <w:rFonts w:hint="eastAsia" w:hAnsi="宋体" w:cs="宋体"/>
                <w:sz w:val="24"/>
                <w:szCs w:val="24"/>
              </w:rPr>
              <w:t>5</w:t>
            </w:r>
          </w:p>
        </w:tc>
        <w:tc>
          <w:tcPr>
            <w:tcW w:w="4905" w:type="dxa"/>
            <w:tcBorders>
              <w:top w:val="single" w:color="auto" w:sz="4" w:space="0"/>
              <w:left w:val="nil"/>
              <w:bottom w:val="single" w:color="auto" w:sz="4" w:space="0"/>
              <w:right w:val="single" w:color="auto" w:sz="4" w:space="0"/>
            </w:tcBorders>
            <w:vAlign w:val="center"/>
          </w:tcPr>
          <w:p w14:paraId="673758C8">
            <w:pPr>
              <w:widowControl/>
              <w:ind w:firstLine="0" w:firstLineChars="0"/>
              <w:rPr>
                <w:rFonts w:hint="eastAsia" w:hAnsi="宋体" w:cs="宋体"/>
                <w:sz w:val="24"/>
                <w:szCs w:val="24"/>
              </w:rPr>
            </w:pPr>
            <w:r>
              <w:rPr>
                <w:rFonts w:hint="eastAsia" w:hAnsi="宋体" w:cs="宋体"/>
                <w:sz w:val="24"/>
                <w:szCs w:val="24"/>
              </w:rPr>
              <w:t>接收旅客和机组行李、管理航空器登机口、及其他机场内旅客服务人员</w:t>
            </w:r>
          </w:p>
        </w:tc>
        <w:tc>
          <w:tcPr>
            <w:tcW w:w="1605" w:type="dxa"/>
            <w:tcBorders>
              <w:top w:val="single" w:color="auto" w:sz="4" w:space="0"/>
              <w:left w:val="nil"/>
              <w:bottom w:val="single" w:color="auto" w:sz="4" w:space="0"/>
              <w:right w:val="single" w:color="auto" w:sz="4" w:space="0"/>
            </w:tcBorders>
            <w:vAlign w:val="center"/>
          </w:tcPr>
          <w:p w14:paraId="7613FFF0">
            <w:pPr>
              <w:ind w:firstLine="0" w:firstLineChars="0"/>
              <w:jc w:val="center"/>
              <w:rPr>
                <w:rFonts w:hint="eastAsia" w:hAnsi="宋体" w:cs="宋体"/>
                <w:sz w:val="24"/>
                <w:szCs w:val="24"/>
              </w:rPr>
            </w:pPr>
            <w:r>
              <w:rPr>
                <w:rFonts w:hint="eastAsia" w:hAnsi="宋体" w:cs="宋体"/>
                <w:sz w:val="24"/>
                <w:szCs w:val="24"/>
              </w:rPr>
              <w:t>9</w:t>
            </w:r>
          </w:p>
        </w:tc>
        <w:tc>
          <w:tcPr>
            <w:tcW w:w="1545" w:type="dxa"/>
            <w:tcBorders>
              <w:top w:val="single" w:color="auto" w:sz="4" w:space="0"/>
              <w:left w:val="nil"/>
              <w:bottom w:val="single" w:color="auto" w:sz="4" w:space="0"/>
              <w:right w:val="single" w:color="auto" w:sz="4" w:space="0"/>
            </w:tcBorders>
            <w:vAlign w:val="center"/>
          </w:tcPr>
          <w:p w14:paraId="362EE0D6">
            <w:pPr>
              <w:ind w:firstLine="0" w:firstLineChars="0"/>
              <w:jc w:val="center"/>
              <w:rPr>
                <w:rFonts w:hint="eastAsia" w:hAnsi="宋体" w:cs="宋体"/>
                <w:sz w:val="24"/>
                <w:szCs w:val="24"/>
              </w:rPr>
            </w:pPr>
            <w:r>
              <w:rPr>
                <w:rFonts w:hint="eastAsia" w:hAnsi="宋体" w:cs="宋体"/>
                <w:sz w:val="24"/>
                <w:szCs w:val="24"/>
              </w:rPr>
              <w:t>5</w:t>
            </w:r>
          </w:p>
        </w:tc>
      </w:tr>
      <w:tr w14:paraId="6BD89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vAlign w:val="center"/>
          </w:tcPr>
          <w:p w14:paraId="24C8CD13">
            <w:pPr>
              <w:ind w:firstLine="0" w:firstLineChars="0"/>
              <w:jc w:val="center"/>
              <w:rPr>
                <w:rFonts w:hint="eastAsia" w:hAnsi="宋体" w:cs="宋体"/>
                <w:sz w:val="24"/>
                <w:szCs w:val="24"/>
              </w:rPr>
            </w:pPr>
            <w:r>
              <w:rPr>
                <w:rFonts w:hint="eastAsia" w:hAnsi="宋体" w:cs="宋体"/>
                <w:sz w:val="24"/>
                <w:szCs w:val="24"/>
              </w:rPr>
              <w:t>6</w:t>
            </w:r>
          </w:p>
        </w:tc>
        <w:tc>
          <w:tcPr>
            <w:tcW w:w="4905" w:type="dxa"/>
            <w:tcBorders>
              <w:top w:val="single" w:color="auto" w:sz="4" w:space="0"/>
              <w:left w:val="nil"/>
              <w:bottom w:val="single" w:color="auto" w:sz="4" w:space="0"/>
              <w:right w:val="single" w:color="auto" w:sz="4" w:space="0"/>
            </w:tcBorders>
            <w:vAlign w:val="center"/>
          </w:tcPr>
          <w:p w14:paraId="381B458A">
            <w:pPr>
              <w:widowControl/>
              <w:ind w:firstLine="0" w:firstLineChars="0"/>
              <w:rPr>
                <w:rFonts w:hint="eastAsia" w:hAnsi="宋体" w:cs="宋体"/>
                <w:sz w:val="24"/>
                <w:szCs w:val="24"/>
              </w:rPr>
            </w:pPr>
            <w:r>
              <w:rPr>
                <w:rFonts w:hint="eastAsia" w:hAnsi="宋体" w:cs="宋体"/>
                <w:sz w:val="24"/>
                <w:szCs w:val="24"/>
              </w:rPr>
              <w:t>航空器装载计划</w:t>
            </w:r>
          </w:p>
        </w:tc>
        <w:tc>
          <w:tcPr>
            <w:tcW w:w="1605" w:type="dxa"/>
            <w:tcBorders>
              <w:top w:val="single" w:color="auto" w:sz="4" w:space="0"/>
              <w:left w:val="nil"/>
              <w:bottom w:val="single" w:color="auto" w:sz="4" w:space="0"/>
              <w:right w:val="single" w:color="auto" w:sz="4" w:space="0"/>
            </w:tcBorders>
            <w:vAlign w:val="center"/>
          </w:tcPr>
          <w:p w14:paraId="54053D39">
            <w:pPr>
              <w:ind w:firstLine="0" w:firstLineChars="0"/>
              <w:jc w:val="center"/>
              <w:rPr>
                <w:rFonts w:hint="eastAsia" w:hAnsi="宋体" w:cs="宋体"/>
                <w:sz w:val="24"/>
                <w:szCs w:val="24"/>
              </w:rPr>
            </w:pPr>
            <w:r>
              <w:rPr>
                <w:rFonts w:hint="eastAsia" w:hAnsi="宋体" w:cs="宋体"/>
                <w:sz w:val="24"/>
                <w:szCs w:val="24"/>
              </w:rPr>
              <w:t>9</w:t>
            </w:r>
          </w:p>
        </w:tc>
        <w:tc>
          <w:tcPr>
            <w:tcW w:w="1545" w:type="dxa"/>
            <w:tcBorders>
              <w:top w:val="single" w:color="auto" w:sz="4" w:space="0"/>
              <w:left w:val="nil"/>
              <w:bottom w:val="single" w:color="auto" w:sz="4" w:space="0"/>
              <w:right w:val="single" w:color="auto" w:sz="4" w:space="0"/>
            </w:tcBorders>
            <w:vAlign w:val="center"/>
          </w:tcPr>
          <w:p w14:paraId="09E7A66A">
            <w:pPr>
              <w:ind w:firstLine="0" w:firstLineChars="0"/>
              <w:jc w:val="center"/>
              <w:rPr>
                <w:rFonts w:hint="eastAsia" w:hAnsi="宋体" w:cs="宋体"/>
                <w:sz w:val="24"/>
                <w:szCs w:val="24"/>
              </w:rPr>
            </w:pPr>
            <w:r>
              <w:rPr>
                <w:rFonts w:hint="eastAsia" w:hAnsi="宋体" w:cs="宋体"/>
                <w:sz w:val="24"/>
                <w:szCs w:val="24"/>
              </w:rPr>
              <w:t>5</w:t>
            </w:r>
          </w:p>
        </w:tc>
      </w:tr>
      <w:tr w14:paraId="10AB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vAlign w:val="center"/>
          </w:tcPr>
          <w:p w14:paraId="65FEBC29">
            <w:pPr>
              <w:ind w:firstLine="0" w:firstLineChars="0"/>
              <w:jc w:val="center"/>
              <w:rPr>
                <w:rFonts w:hint="eastAsia" w:hAnsi="宋体" w:cs="宋体"/>
                <w:sz w:val="24"/>
                <w:szCs w:val="24"/>
              </w:rPr>
            </w:pPr>
            <w:r>
              <w:rPr>
                <w:rFonts w:hint="eastAsia" w:hAnsi="宋体" w:cs="宋体"/>
                <w:sz w:val="24"/>
                <w:szCs w:val="24"/>
              </w:rPr>
              <w:t>7</w:t>
            </w:r>
          </w:p>
        </w:tc>
        <w:tc>
          <w:tcPr>
            <w:tcW w:w="4905" w:type="dxa"/>
            <w:tcBorders>
              <w:top w:val="single" w:color="auto" w:sz="4" w:space="0"/>
              <w:left w:val="nil"/>
              <w:bottom w:val="single" w:color="auto" w:sz="4" w:space="0"/>
              <w:right w:val="single" w:color="auto" w:sz="4" w:space="0"/>
            </w:tcBorders>
            <w:vAlign w:val="center"/>
          </w:tcPr>
          <w:p w14:paraId="73FAF161">
            <w:pPr>
              <w:widowControl/>
              <w:ind w:firstLine="0" w:firstLineChars="0"/>
              <w:rPr>
                <w:rFonts w:hint="eastAsia" w:hAnsi="宋体" w:cs="宋体"/>
                <w:sz w:val="24"/>
                <w:szCs w:val="24"/>
              </w:rPr>
            </w:pPr>
            <w:r>
              <w:rPr>
                <w:rFonts w:hint="eastAsia" w:hAnsi="宋体" w:cs="宋体"/>
                <w:sz w:val="24"/>
                <w:szCs w:val="24"/>
              </w:rPr>
              <w:t>飞行机组</w:t>
            </w:r>
          </w:p>
        </w:tc>
        <w:tc>
          <w:tcPr>
            <w:tcW w:w="1605" w:type="dxa"/>
            <w:tcBorders>
              <w:top w:val="single" w:color="auto" w:sz="4" w:space="0"/>
              <w:left w:val="nil"/>
              <w:bottom w:val="single" w:color="auto" w:sz="4" w:space="0"/>
              <w:right w:val="single" w:color="auto" w:sz="4" w:space="0"/>
            </w:tcBorders>
            <w:vAlign w:val="center"/>
          </w:tcPr>
          <w:p w14:paraId="320DDD17">
            <w:pPr>
              <w:ind w:firstLine="0" w:firstLineChars="0"/>
              <w:jc w:val="center"/>
              <w:rPr>
                <w:rFonts w:hint="eastAsia" w:hAnsi="宋体" w:cs="宋体"/>
                <w:sz w:val="24"/>
                <w:szCs w:val="24"/>
              </w:rPr>
            </w:pPr>
            <w:r>
              <w:rPr>
                <w:rFonts w:hint="eastAsia" w:hAnsi="宋体" w:cs="宋体"/>
                <w:sz w:val="24"/>
                <w:szCs w:val="24"/>
              </w:rPr>
              <w:t>9</w:t>
            </w:r>
          </w:p>
        </w:tc>
        <w:tc>
          <w:tcPr>
            <w:tcW w:w="1545" w:type="dxa"/>
            <w:tcBorders>
              <w:top w:val="single" w:color="auto" w:sz="4" w:space="0"/>
              <w:left w:val="nil"/>
              <w:bottom w:val="single" w:color="auto" w:sz="4" w:space="0"/>
              <w:right w:val="single" w:color="auto" w:sz="4" w:space="0"/>
            </w:tcBorders>
            <w:vAlign w:val="center"/>
          </w:tcPr>
          <w:p w14:paraId="762B78AE">
            <w:pPr>
              <w:ind w:firstLine="0" w:firstLineChars="0"/>
              <w:jc w:val="center"/>
              <w:rPr>
                <w:rFonts w:hint="eastAsia" w:hAnsi="宋体" w:cs="宋体"/>
                <w:sz w:val="24"/>
                <w:szCs w:val="24"/>
              </w:rPr>
            </w:pPr>
            <w:r>
              <w:rPr>
                <w:rFonts w:hint="eastAsia" w:hAnsi="宋体" w:cs="宋体"/>
                <w:sz w:val="24"/>
                <w:szCs w:val="24"/>
              </w:rPr>
              <w:t>5</w:t>
            </w:r>
          </w:p>
        </w:tc>
      </w:tr>
      <w:tr w14:paraId="6B38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vAlign w:val="center"/>
          </w:tcPr>
          <w:p w14:paraId="1F45BAEA">
            <w:pPr>
              <w:ind w:firstLine="0" w:firstLineChars="0"/>
              <w:jc w:val="center"/>
              <w:rPr>
                <w:rFonts w:hint="eastAsia" w:hAnsi="宋体" w:cs="宋体"/>
                <w:sz w:val="24"/>
                <w:szCs w:val="24"/>
              </w:rPr>
            </w:pPr>
            <w:r>
              <w:rPr>
                <w:rFonts w:hint="eastAsia" w:hAnsi="宋体" w:cs="宋体"/>
                <w:sz w:val="24"/>
                <w:szCs w:val="24"/>
              </w:rPr>
              <w:t>8</w:t>
            </w:r>
          </w:p>
        </w:tc>
        <w:tc>
          <w:tcPr>
            <w:tcW w:w="4905" w:type="dxa"/>
            <w:tcBorders>
              <w:top w:val="single" w:color="auto" w:sz="4" w:space="0"/>
              <w:left w:val="nil"/>
              <w:bottom w:val="single" w:color="auto" w:sz="4" w:space="0"/>
              <w:right w:val="single" w:color="auto" w:sz="4" w:space="0"/>
            </w:tcBorders>
            <w:vAlign w:val="center"/>
          </w:tcPr>
          <w:p w14:paraId="254792E7">
            <w:pPr>
              <w:widowControl/>
              <w:ind w:firstLine="0" w:firstLineChars="0"/>
              <w:rPr>
                <w:rFonts w:hint="eastAsia" w:hAnsi="宋体" w:cs="宋体"/>
                <w:sz w:val="24"/>
                <w:szCs w:val="24"/>
              </w:rPr>
            </w:pPr>
            <w:r>
              <w:rPr>
                <w:rFonts w:hint="eastAsia" w:hAnsi="宋体" w:cs="宋体"/>
                <w:sz w:val="24"/>
                <w:szCs w:val="24"/>
              </w:rPr>
              <w:t>飞行运行和飞行签派</w:t>
            </w:r>
          </w:p>
        </w:tc>
        <w:tc>
          <w:tcPr>
            <w:tcW w:w="1605" w:type="dxa"/>
            <w:tcBorders>
              <w:top w:val="single" w:color="auto" w:sz="4" w:space="0"/>
              <w:left w:val="nil"/>
              <w:bottom w:val="single" w:color="auto" w:sz="4" w:space="0"/>
              <w:right w:val="single" w:color="auto" w:sz="4" w:space="0"/>
            </w:tcBorders>
            <w:vAlign w:val="center"/>
          </w:tcPr>
          <w:p w14:paraId="53935DBE">
            <w:pPr>
              <w:ind w:firstLine="0" w:firstLineChars="0"/>
              <w:jc w:val="center"/>
              <w:rPr>
                <w:rFonts w:hint="eastAsia" w:hAnsi="宋体" w:cs="宋体"/>
                <w:sz w:val="24"/>
                <w:szCs w:val="24"/>
              </w:rPr>
            </w:pPr>
            <w:r>
              <w:rPr>
                <w:rFonts w:hint="eastAsia" w:hAnsi="宋体" w:cs="宋体"/>
                <w:sz w:val="24"/>
                <w:szCs w:val="24"/>
              </w:rPr>
              <w:t>9</w:t>
            </w:r>
          </w:p>
        </w:tc>
        <w:tc>
          <w:tcPr>
            <w:tcW w:w="1545" w:type="dxa"/>
            <w:tcBorders>
              <w:top w:val="single" w:color="auto" w:sz="4" w:space="0"/>
              <w:left w:val="nil"/>
              <w:bottom w:val="single" w:color="auto" w:sz="4" w:space="0"/>
              <w:right w:val="single" w:color="auto" w:sz="4" w:space="0"/>
            </w:tcBorders>
            <w:vAlign w:val="center"/>
          </w:tcPr>
          <w:p w14:paraId="22B1C314">
            <w:pPr>
              <w:ind w:firstLine="0" w:firstLineChars="0"/>
              <w:jc w:val="center"/>
              <w:rPr>
                <w:rFonts w:hint="eastAsia" w:hAnsi="宋体" w:cs="宋体"/>
                <w:sz w:val="24"/>
                <w:szCs w:val="24"/>
              </w:rPr>
            </w:pPr>
            <w:r>
              <w:rPr>
                <w:rFonts w:hint="eastAsia" w:hAnsi="宋体" w:cs="宋体"/>
                <w:sz w:val="24"/>
                <w:szCs w:val="24"/>
              </w:rPr>
              <w:t>5</w:t>
            </w:r>
          </w:p>
        </w:tc>
      </w:tr>
      <w:tr w14:paraId="6F3E4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vAlign w:val="center"/>
          </w:tcPr>
          <w:p w14:paraId="7134163B">
            <w:pPr>
              <w:ind w:firstLine="0" w:firstLineChars="0"/>
              <w:jc w:val="center"/>
              <w:rPr>
                <w:rFonts w:hint="eastAsia" w:hAnsi="宋体" w:cs="宋体"/>
                <w:sz w:val="24"/>
                <w:szCs w:val="24"/>
              </w:rPr>
            </w:pPr>
            <w:r>
              <w:rPr>
                <w:rFonts w:hint="eastAsia" w:hAnsi="宋体" w:cs="宋体"/>
                <w:sz w:val="24"/>
                <w:szCs w:val="24"/>
              </w:rPr>
              <w:t>9</w:t>
            </w:r>
          </w:p>
        </w:tc>
        <w:tc>
          <w:tcPr>
            <w:tcW w:w="4905" w:type="dxa"/>
            <w:tcBorders>
              <w:top w:val="single" w:color="auto" w:sz="4" w:space="0"/>
              <w:left w:val="nil"/>
              <w:bottom w:val="single" w:color="auto" w:sz="4" w:space="0"/>
              <w:right w:val="single" w:color="auto" w:sz="4" w:space="0"/>
            </w:tcBorders>
            <w:vAlign w:val="center"/>
          </w:tcPr>
          <w:p w14:paraId="7AB655F4">
            <w:pPr>
              <w:widowControl/>
              <w:ind w:firstLine="0" w:firstLineChars="0"/>
              <w:rPr>
                <w:rFonts w:hint="eastAsia" w:hAnsi="宋体" w:cs="宋体"/>
                <w:sz w:val="24"/>
                <w:szCs w:val="24"/>
              </w:rPr>
            </w:pPr>
            <w:r>
              <w:rPr>
                <w:rFonts w:hint="eastAsia" w:hAnsi="宋体" w:cs="宋体"/>
                <w:sz w:val="24"/>
                <w:szCs w:val="24"/>
              </w:rPr>
              <w:t>客舱机组</w:t>
            </w:r>
          </w:p>
        </w:tc>
        <w:tc>
          <w:tcPr>
            <w:tcW w:w="1605" w:type="dxa"/>
            <w:tcBorders>
              <w:top w:val="single" w:color="auto" w:sz="4" w:space="0"/>
              <w:left w:val="nil"/>
              <w:bottom w:val="single" w:color="auto" w:sz="4" w:space="0"/>
              <w:right w:val="single" w:color="auto" w:sz="4" w:space="0"/>
            </w:tcBorders>
            <w:vAlign w:val="center"/>
          </w:tcPr>
          <w:p w14:paraId="7168BCA6">
            <w:pPr>
              <w:ind w:firstLine="0" w:firstLineChars="0"/>
              <w:jc w:val="center"/>
              <w:rPr>
                <w:rFonts w:hint="eastAsia" w:hAnsi="宋体" w:cs="宋体"/>
                <w:sz w:val="24"/>
                <w:szCs w:val="24"/>
              </w:rPr>
            </w:pPr>
            <w:r>
              <w:rPr>
                <w:rFonts w:hint="eastAsia" w:hAnsi="宋体" w:cs="宋体"/>
                <w:sz w:val="24"/>
                <w:szCs w:val="24"/>
              </w:rPr>
              <w:t>9</w:t>
            </w:r>
          </w:p>
        </w:tc>
        <w:tc>
          <w:tcPr>
            <w:tcW w:w="1545" w:type="dxa"/>
            <w:tcBorders>
              <w:top w:val="single" w:color="auto" w:sz="4" w:space="0"/>
              <w:left w:val="nil"/>
              <w:bottom w:val="single" w:color="auto" w:sz="4" w:space="0"/>
              <w:right w:val="single" w:color="auto" w:sz="4" w:space="0"/>
            </w:tcBorders>
            <w:vAlign w:val="center"/>
          </w:tcPr>
          <w:p w14:paraId="0AAC8594">
            <w:pPr>
              <w:ind w:firstLine="0" w:firstLineChars="0"/>
              <w:jc w:val="center"/>
              <w:rPr>
                <w:rFonts w:hint="eastAsia" w:hAnsi="宋体" w:cs="宋体"/>
                <w:sz w:val="24"/>
                <w:szCs w:val="24"/>
              </w:rPr>
            </w:pPr>
            <w:r>
              <w:rPr>
                <w:rFonts w:hint="eastAsia" w:hAnsi="宋体" w:cs="宋体"/>
                <w:sz w:val="24"/>
                <w:szCs w:val="24"/>
              </w:rPr>
              <w:t>5</w:t>
            </w:r>
          </w:p>
        </w:tc>
      </w:tr>
      <w:tr w14:paraId="440D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vAlign w:val="center"/>
          </w:tcPr>
          <w:p w14:paraId="6E64280B">
            <w:pPr>
              <w:ind w:firstLine="0" w:firstLineChars="0"/>
              <w:jc w:val="center"/>
              <w:rPr>
                <w:rFonts w:hint="eastAsia" w:hAnsi="宋体" w:cs="宋体"/>
                <w:sz w:val="24"/>
                <w:szCs w:val="24"/>
              </w:rPr>
            </w:pPr>
            <w:r>
              <w:rPr>
                <w:rFonts w:hint="eastAsia" w:hAnsi="宋体" w:cs="宋体"/>
                <w:sz w:val="24"/>
                <w:szCs w:val="24"/>
              </w:rPr>
              <w:t>10</w:t>
            </w:r>
          </w:p>
        </w:tc>
        <w:tc>
          <w:tcPr>
            <w:tcW w:w="4905" w:type="dxa"/>
            <w:tcBorders>
              <w:top w:val="single" w:color="auto" w:sz="4" w:space="0"/>
              <w:left w:val="nil"/>
              <w:bottom w:val="single" w:color="auto" w:sz="4" w:space="0"/>
              <w:right w:val="single" w:color="auto" w:sz="4" w:space="0"/>
            </w:tcBorders>
            <w:vAlign w:val="center"/>
          </w:tcPr>
          <w:p w14:paraId="4AAC0D0E">
            <w:pPr>
              <w:widowControl/>
              <w:ind w:firstLine="0" w:firstLineChars="0"/>
              <w:rPr>
                <w:rFonts w:hint="eastAsia" w:hAnsi="宋体" w:cs="宋体"/>
                <w:sz w:val="24"/>
                <w:szCs w:val="24"/>
              </w:rPr>
            </w:pPr>
            <w:r>
              <w:rPr>
                <w:rFonts w:hint="eastAsia" w:hAnsi="宋体" w:cs="宋体"/>
                <w:sz w:val="24"/>
                <w:szCs w:val="24"/>
              </w:rPr>
              <w:t>旅客和机组及其行李、货物和邮件安检</w:t>
            </w:r>
          </w:p>
        </w:tc>
        <w:tc>
          <w:tcPr>
            <w:tcW w:w="1605" w:type="dxa"/>
            <w:tcBorders>
              <w:top w:val="single" w:color="auto" w:sz="4" w:space="0"/>
              <w:left w:val="nil"/>
              <w:bottom w:val="single" w:color="auto" w:sz="4" w:space="0"/>
              <w:right w:val="single" w:color="auto" w:sz="4" w:space="0"/>
            </w:tcBorders>
            <w:vAlign w:val="center"/>
          </w:tcPr>
          <w:p w14:paraId="224C83CF">
            <w:pPr>
              <w:ind w:firstLine="0" w:firstLineChars="0"/>
              <w:jc w:val="center"/>
              <w:rPr>
                <w:rFonts w:hint="eastAsia" w:hAnsi="宋体" w:cs="宋体"/>
                <w:sz w:val="24"/>
                <w:szCs w:val="24"/>
              </w:rPr>
            </w:pPr>
            <w:r>
              <w:rPr>
                <w:rFonts w:hint="eastAsia" w:hAnsi="宋体" w:cs="宋体"/>
                <w:sz w:val="24"/>
                <w:szCs w:val="24"/>
              </w:rPr>
              <w:t>9</w:t>
            </w:r>
          </w:p>
        </w:tc>
        <w:tc>
          <w:tcPr>
            <w:tcW w:w="1545" w:type="dxa"/>
            <w:tcBorders>
              <w:top w:val="single" w:color="auto" w:sz="4" w:space="0"/>
              <w:left w:val="nil"/>
              <w:bottom w:val="single" w:color="auto" w:sz="4" w:space="0"/>
              <w:right w:val="single" w:color="auto" w:sz="4" w:space="0"/>
            </w:tcBorders>
            <w:vAlign w:val="center"/>
          </w:tcPr>
          <w:p w14:paraId="4653897F">
            <w:pPr>
              <w:ind w:firstLine="0" w:firstLineChars="0"/>
              <w:jc w:val="center"/>
              <w:rPr>
                <w:rFonts w:hint="eastAsia" w:hAnsi="宋体" w:cs="宋体"/>
                <w:sz w:val="24"/>
                <w:szCs w:val="24"/>
              </w:rPr>
            </w:pPr>
            <w:r>
              <w:rPr>
                <w:rFonts w:hint="eastAsia" w:hAnsi="宋体" w:cs="宋体"/>
                <w:sz w:val="24"/>
                <w:szCs w:val="24"/>
              </w:rPr>
              <w:t>5</w:t>
            </w:r>
          </w:p>
        </w:tc>
      </w:tr>
    </w:tbl>
    <w:p w14:paraId="3F37C56E">
      <w:pPr>
        <w:spacing w:line="360" w:lineRule="auto"/>
        <w:ind w:firstLine="0" w:firstLineChars="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注： 相关单位应参照表中提供的危险品通用职责和培训课程最低课时，根据本单位危险品职责所设置的培训课程确定培训时间。 </w:t>
      </w:r>
    </w:p>
    <w:p w14:paraId="1EE55370">
      <w:pPr>
        <w:outlineLvl w:val="3"/>
        <w:rPr>
          <w:rFonts w:hint="eastAsia" w:ascii="方正仿宋_GB2312" w:hAnsi="方正仿宋_GB2312" w:eastAsia="方正仿宋_GB2312" w:cs="方正仿宋_GB2312"/>
        </w:rPr>
      </w:pPr>
      <w:bookmarkStart w:id="172" w:name="_Toc17152"/>
      <w:bookmarkStart w:id="173" w:name="_Toc20225"/>
      <w:bookmarkStart w:id="174" w:name="_Toc20252"/>
      <w:bookmarkStart w:id="175" w:name="_Toc1232"/>
      <w:bookmarkStart w:id="176" w:name="_Toc13897"/>
      <w:bookmarkStart w:id="177" w:name="_Toc28869"/>
      <w:bookmarkStart w:id="178" w:name="_Toc21136"/>
      <w:bookmarkStart w:id="179" w:name="_Toc20177"/>
      <w:r>
        <w:rPr>
          <w:rFonts w:hint="eastAsia" w:ascii="方正仿宋_GB2312" w:hAnsi="方正仿宋_GB2312" w:eastAsia="方正仿宋_GB2312" w:cs="方正仿宋_GB2312"/>
        </w:rPr>
        <w:t>1.危险品培训课程应涵盖知识培训、职责培训和安全培训。</w:t>
      </w:r>
    </w:p>
    <w:p w14:paraId="6EE668A4">
      <w:pPr>
        <w:rPr>
          <w:rFonts w:hint="eastAsia" w:ascii="方正仿宋_GB2312" w:hAnsi="方正仿宋_GB2312" w:eastAsia="方正仿宋_GB2312" w:cs="方正仿宋_GB2312"/>
          <w:color w:val="0000FF"/>
        </w:rPr>
      </w:pPr>
      <w:r>
        <w:rPr>
          <w:rFonts w:hint="eastAsia" w:ascii="方正仿宋_GB2312" w:hAnsi="方正仿宋_GB2312" w:eastAsia="方正仿宋_GB2312" w:cs="方正仿宋_GB2312"/>
        </w:rPr>
        <w:t>知识培训包括履行危险品职责所需的危险品基础知识、法规要求等。职责培训包括履行危险品职责应掌握的公司规定、工作程序和执行任务的标准等。安全培训包括为建立履行各危险品运输职责应具备的安全意识和工作态度，以及获得应对特殊情况或应急处置必备的知识和技能。</w:t>
      </w:r>
    </w:p>
    <w:p w14:paraId="20FD4683">
      <w:pPr>
        <w:outlineLvl w:val="3"/>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2.根据培训目标和教学需求明确授课形式。</w:t>
      </w:r>
    </w:p>
    <w:p w14:paraId="4EDBF05E">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各危险品职责的初训，以及危险品货物准备、处理或接收等危险品职责的复训，应采用集中课堂教学。如遇特殊情况，经其所在地地区管理局评估后，可采用网络视频教学。</w:t>
      </w:r>
    </w:p>
    <w:p w14:paraId="62395BD4">
      <w:pPr>
        <w:outlineLvl w:val="3"/>
        <w:rPr>
          <w:rFonts w:hint="eastAsia" w:ascii="方正仿宋_GB2312" w:hAnsi="方正仿宋_GB2312" w:eastAsia="方正仿宋_GB2312" w:cs="方正仿宋_GB2312"/>
        </w:rPr>
      </w:pPr>
      <w:r>
        <w:rPr>
          <w:rFonts w:ascii="方正仿宋_GB2312" w:hAnsi="方正仿宋_GB2312" w:eastAsia="方正仿宋_GB2312" w:cs="方正仿宋_GB2312"/>
        </w:rPr>
        <w:t>3.</w:t>
      </w:r>
      <w:r>
        <w:rPr>
          <w:rFonts w:hint="eastAsia" w:ascii="方正仿宋_GB2312" w:hAnsi="方正仿宋_GB2312" w:eastAsia="方正仿宋_GB2312" w:cs="方正仿宋_GB2312"/>
        </w:rPr>
        <w:t>按照培训目标和培训需求明确培训时间（课时以小时为单位）和每期培训人数的上限。</w:t>
      </w:r>
    </w:p>
    <w:p w14:paraId="145B3F11">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培训时间应包括知识培训、职责培训和安全培训课程的课时。</w:t>
      </w:r>
    </w:p>
    <w:p w14:paraId="7DB6F8D8">
      <w:pPr>
        <w:outlineLvl w:val="3"/>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4.按照初训和复训要求设计课程。</w:t>
      </w:r>
      <w:bookmarkEnd w:id="172"/>
      <w:bookmarkEnd w:id="173"/>
      <w:bookmarkEnd w:id="174"/>
      <w:bookmarkEnd w:id="175"/>
      <w:bookmarkEnd w:id="176"/>
      <w:bookmarkEnd w:id="177"/>
      <w:bookmarkEnd w:id="178"/>
      <w:bookmarkEnd w:id="179"/>
    </w:p>
    <w:p w14:paraId="182CF235">
      <w:pPr>
        <w:outlineLvl w:val="3"/>
        <w:rPr>
          <w:rFonts w:hint="eastAsia" w:ascii="方正仿宋_GB2312" w:hAnsi="方正仿宋_GB2312" w:eastAsia="方正仿宋_GB2312" w:cs="方正仿宋_GB2312"/>
        </w:rPr>
      </w:pPr>
      <w:bookmarkStart w:id="180" w:name="_Toc4136"/>
      <w:bookmarkStart w:id="181" w:name="_Toc17760"/>
      <w:bookmarkStart w:id="182" w:name="_Toc17595"/>
      <w:bookmarkStart w:id="183" w:name="_Toc26559"/>
      <w:bookmarkStart w:id="184" w:name="_Toc29582"/>
      <w:bookmarkStart w:id="185" w:name="_Toc5673"/>
      <w:bookmarkStart w:id="186" w:name="_Toc14542"/>
      <w:bookmarkStart w:id="187" w:name="_Toc25974"/>
      <w:r>
        <w:rPr>
          <w:rFonts w:hint="eastAsia" w:ascii="方正仿宋_GB2312" w:hAnsi="方正仿宋_GB2312" w:eastAsia="方正仿宋_GB2312" w:cs="方正仿宋_GB2312"/>
        </w:rPr>
        <w:t>5.明确培训教材、课件、教具等培训资源的使用和维护要求。</w:t>
      </w:r>
      <w:bookmarkEnd w:id="180"/>
      <w:bookmarkEnd w:id="181"/>
      <w:bookmarkEnd w:id="182"/>
      <w:bookmarkEnd w:id="183"/>
      <w:bookmarkEnd w:id="184"/>
      <w:bookmarkEnd w:id="185"/>
      <w:bookmarkEnd w:id="186"/>
      <w:bookmarkEnd w:id="187"/>
    </w:p>
    <w:p w14:paraId="08DD0321">
      <w:pPr>
        <w:rPr>
          <w:rFonts w:hint="eastAsia" w:ascii="方正仿宋_GB2312" w:hAnsi="方正仿宋_GB2312" w:eastAsia="方正仿宋_GB2312" w:cs="方正仿宋_GB2312"/>
          <w:bCs/>
        </w:rPr>
      </w:pPr>
      <w:bookmarkStart w:id="188" w:name="_Toc9044"/>
      <w:bookmarkStart w:id="189" w:name="_Toc26901"/>
      <w:bookmarkStart w:id="190" w:name="_Toc2335"/>
      <w:bookmarkStart w:id="191" w:name="_Toc14581"/>
      <w:bookmarkStart w:id="192" w:name="_Toc18550"/>
      <w:bookmarkStart w:id="193" w:name="_Toc4466"/>
      <w:bookmarkStart w:id="194" w:name="_Toc20730"/>
      <w:bookmarkStart w:id="195" w:name="_Toc3238"/>
      <w:r>
        <w:rPr>
          <w:rFonts w:hint="eastAsia" w:ascii="方正仿宋_GB2312" w:hAnsi="方正仿宋_GB2312" w:eastAsia="方正仿宋_GB2312" w:cs="方正仿宋_GB2312"/>
        </w:rPr>
        <w:t>（三）确定参训人员胜任能力水平的方法、流程（如适用）和评估工具等评估标准。</w:t>
      </w:r>
      <w:bookmarkEnd w:id="125"/>
      <w:bookmarkEnd w:id="188"/>
      <w:bookmarkEnd w:id="189"/>
      <w:bookmarkEnd w:id="190"/>
      <w:bookmarkEnd w:id="191"/>
      <w:bookmarkEnd w:id="192"/>
      <w:bookmarkEnd w:id="193"/>
      <w:bookmarkEnd w:id="194"/>
      <w:bookmarkEnd w:id="195"/>
      <w:r>
        <w:rPr>
          <w:rFonts w:hint="eastAsia" w:ascii="方正仿宋_GB2312" w:hAnsi="方正仿宋_GB2312" w:eastAsia="方正仿宋_GB2312" w:cs="方正仿宋_GB2312"/>
        </w:rPr>
        <w:t>评估时间应按照评估标准的需求确定另行说明，不计入培训课时。</w:t>
      </w:r>
    </w:p>
    <w:p w14:paraId="3442EAEC">
      <w:pPr>
        <w:outlineLvl w:val="2"/>
        <w:rPr>
          <w:rFonts w:hint="eastAsia" w:ascii="方正仿宋_GB2312" w:hAnsi="方正仿宋_GB2312" w:eastAsia="方正仿宋_GB2312" w:cs="方正仿宋_GB2312"/>
        </w:rPr>
      </w:pPr>
      <w:bookmarkStart w:id="196" w:name="_Toc18525"/>
      <w:bookmarkStart w:id="197" w:name="_Toc13795"/>
      <w:bookmarkStart w:id="198" w:name="_Toc20503"/>
      <w:bookmarkStart w:id="199" w:name="_Toc17609"/>
      <w:bookmarkStart w:id="200" w:name="_Toc13543"/>
      <w:bookmarkStart w:id="201" w:name="_Toc21588"/>
      <w:bookmarkStart w:id="202" w:name="_Toc21169"/>
      <w:r>
        <w:rPr>
          <w:rFonts w:hint="eastAsia" w:ascii="方正仿宋_GB2312" w:hAnsi="方正仿宋_GB2312" w:eastAsia="方正仿宋_GB2312" w:cs="方正仿宋_GB2312"/>
        </w:rPr>
        <w:t>（四）完善培训方案、监控培训质量、跟踪培训效果的措施和要求。</w:t>
      </w:r>
      <w:bookmarkEnd w:id="196"/>
      <w:bookmarkEnd w:id="197"/>
      <w:bookmarkEnd w:id="198"/>
      <w:bookmarkEnd w:id="199"/>
      <w:bookmarkEnd w:id="200"/>
      <w:bookmarkEnd w:id="201"/>
      <w:bookmarkEnd w:id="202"/>
      <w:bookmarkStart w:id="203" w:name="_Toc10685"/>
      <w:bookmarkStart w:id="204" w:name="_Toc8731"/>
      <w:bookmarkStart w:id="205" w:name="_Toc11399"/>
      <w:bookmarkStart w:id="206" w:name="_Toc9917"/>
      <w:bookmarkStart w:id="207" w:name="_Toc25916"/>
      <w:bookmarkStart w:id="208" w:name="_Toc28541"/>
      <w:bookmarkStart w:id="209" w:name="_Toc4849"/>
      <w:bookmarkStart w:id="210" w:name="_Toc9189"/>
    </w:p>
    <w:p w14:paraId="774527A4">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第三方危险品培训机构应按照本章要求制定与其授课范围相符的危险品培训大纲，经委托单位认可后，按委托方需求提供与机构能力相符的培训。</w:t>
      </w:r>
    </w:p>
    <w:bookmarkEnd w:id="203"/>
    <w:bookmarkEnd w:id="204"/>
    <w:bookmarkEnd w:id="205"/>
    <w:bookmarkEnd w:id="206"/>
    <w:bookmarkEnd w:id="207"/>
    <w:bookmarkEnd w:id="208"/>
    <w:bookmarkEnd w:id="209"/>
    <w:bookmarkEnd w:id="210"/>
    <w:p w14:paraId="19F6795F">
      <w:pPr>
        <w:ind w:firstLineChars="0"/>
        <w:rPr>
          <w:rFonts w:hint="eastAsia" w:ascii="方正仿宋_GB2312" w:hAnsi="方正仿宋_GB2312" w:eastAsia="方正仿宋_GB2312" w:cs="方正仿宋_GB2312"/>
          <w:bCs/>
        </w:rPr>
      </w:pPr>
      <w:bookmarkStart w:id="211" w:name="_Toc15946"/>
      <w:bookmarkStart w:id="212" w:name="_Toc13047"/>
      <w:bookmarkStart w:id="213" w:name="_Toc32673"/>
      <w:bookmarkStart w:id="214" w:name="_Toc14738"/>
      <w:bookmarkStart w:id="215" w:name="_Toc23864"/>
      <w:bookmarkStart w:id="216" w:name="_Toc6900"/>
      <w:bookmarkStart w:id="217" w:name="_Toc19901"/>
      <w:bookmarkStart w:id="218" w:name="_Toc24295"/>
      <w:bookmarkStart w:id="219" w:name="_Toc30509"/>
      <w:r>
        <w:rPr>
          <w:rFonts w:hint="eastAsia" w:ascii="黑体" w:eastAsia="黑体" w:cs="黑体"/>
          <w:bCs/>
        </w:rPr>
        <w:t>第十三条</w:t>
      </w:r>
      <w:bookmarkEnd w:id="211"/>
      <w:bookmarkEnd w:id="212"/>
      <w:bookmarkEnd w:id="213"/>
      <w:bookmarkEnd w:id="214"/>
      <w:bookmarkEnd w:id="215"/>
      <w:bookmarkEnd w:id="216"/>
      <w:bookmarkEnd w:id="217"/>
      <w:bookmarkEnd w:id="218"/>
      <w:bookmarkEnd w:id="219"/>
      <w:r>
        <w:rPr>
          <w:rFonts w:hint="eastAsia" w:ascii="黑体" w:eastAsia="黑体" w:cs="黑体"/>
          <w:bCs/>
        </w:rPr>
        <w:t xml:space="preserve"> </w:t>
      </w:r>
      <w:r>
        <w:rPr>
          <w:rFonts w:hint="eastAsia" w:ascii="方正仿宋_GB2312" w:hAnsi="方正仿宋_GB2312" w:eastAsia="方正仿宋_GB2312" w:cs="方正仿宋_GB2312"/>
        </w:rPr>
        <w:t>境内承运人应在完成运行合格审定前和危险品培训大纲修订、更新后，提交下列材料向其主运营基地机场所在地地区管理局申请危险品培训大纲审查：</w:t>
      </w:r>
    </w:p>
    <w:p w14:paraId="667578C0">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（一）《境内承运人危险品培训大纲审查申请表》（见附录1）；</w:t>
      </w:r>
    </w:p>
    <w:p w14:paraId="0352E61A">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（二）危险品培训大纲；</w:t>
      </w:r>
    </w:p>
    <w:p w14:paraId="5D5EB690">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（三）危险品培训管理制度。</w:t>
      </w:r>
    </w:p>
    <w:p w14:paraId="1A6F08B1">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申请材料齐全且符合管理规定和本办法要求的，地区管理局应在20日内，向境内承运人出具关于危险品培训大纲的审查结果（见附录2）；向申请材料不齐全或不符合要求的承运人通知补充。</w:t>
      </w:r>
    </w:p>
    <w:p w14:paraId="1B86365F">
      <w:pPr>
        <w:rPr>
          <w:rFonts w:hint="eastAsia" w:ascii="方正仿宋_GB2312" w:hAnsi="方正仿宋_GB2312" w:eastAsia="方正仿宋_GB2312" w:cs="方正仿宋_GB2312"/>
        </w:rPr>
      </w:pPr>
      <w:bookmarkStart w:id="220" w:name="_Toc18895"/>
      <w:bookmarkStart w:id="221" w:name="_Toc29956"/>
      <w:bookmarkStart w:id="222" w:name="_Toc15777"/>
      <w:bookmarkStart w:id="223" w:name="_Toc31703"/>
      <w:bookmarkStart w:id="224" w:name="_Toc18298"/>
      <w:bookmarkStart w:id="225" w:name="_Toc12886"/>
      <w:bookmarkStart w:id="226" w:name="_Toc1532"/>
      <w:bookmarkStart w:id="227" w:name="_Toc8778"/>
      <w:r>
        <w:rPr>
          <w:rFonts w:hint="eastAsia" w:ascii="黑体" w:eastAsia="黑体" w:cs="黑体"/>
          <w:bCs/>
        </w:rPr>
        <w:t>第十四条</w:t>
      </w:r>
      <w:bookmarkEnd w:id="220"/>
      <w:bookmarkEnd w:id="221"/>
      <w:bookmarkEnd w:id="222"/>
      <w:bookmarkEnd w:id="223"/>
      <w:bookmarkEnd w:id="224"/>
      <w:bookmarkEnd w:id="225"/>
      <w:bookmarkEnd w:id="226"/>
      <w:bookmarkEnd w:id="227"/>
      <w:r>
        <w:rPr>
          <w:rFonts w:hint="eastAsia" w:ascii="黑体" w:eastAsia="黑体" w:cs="黑体"/>
          <w:bCs/>
        </w:rPr>
        <w:t xml:space="preserve"> </w:t>
      </w:r>
      <w:r>
        <w:rPr>
          <w:rFonts w:hint="eastAsia" w:ascii="方正仿宋_GB2312" w:hAnsi="方正仿宋_GB2312" w:eastAsia="方正仿宋_GB2312" w:cs="方正仿宋_GB2312"/>
        </w:rPr>
        <w:t>地面服务代理人的危险品培训大纲应按照《公共航空危险品运输地面服务代理人备案管理办法》的要求，向所在地地区管理局提交相关材料进行备案。</w:t>
      </w:r>
    </w:p>
    <w:p w14:paraId="3D7EADD6">
      <w:pPr>
        <w:rPr>
          <w:rFonts w:hint="eastAsia" w:ascii="方正仿宋_GB2312" w:hAnsi="方正仿宋_GB2312" w:eastAsia="方正仿宋_GB2312" w:cs="方正仿宋_GB2312"/>
        </w:rPr>
      </w:pPr>
      <w:bookmarkStart w:id="228" w:name="_Toc21628"/>
      <w:bookmarkStart w:id="229" w:name="_Toc16092"/>
      <w:bookmarkStart w:id="230" w:name="_Toc19225"/>
      <w:bookmarkStart w:id="231" w:name="_Toc8151"/>
      <w:bookmarkStart w:id="232" w:name="_Toc3657"/>
      <w:r>
        <w:rPr>
          <w:rFonts w:hint="eastAsia" w:ascii="黑体" w:eastAsia="黑体" w:cs="黑体"/>
          <w:bCs/>
        </w:rPr>
        <w:t>第十五条</w:t>
      </w:r>
      <w:bookmarkEnd w:id="228"/>
      <w:bookmarkEnd w:id="229"/>
      <w:bookmarkEnd w:id="230"/>
      <w:bookmarkEnd w:id="231"/>
      <w:bookmarkEnd w:id="232"/>
      <w:r>
        <w:rPr>
          <w:rFonts w:hint="eastAsia" w:ascii="黑体" w:eastAsia="黑体" w:cs="黑体"/>
          <w:bCs/>
        </w:rPr>
        <w:t xml:space="preserve"> </w:t>
      </w:r>
      <w:r>
        <w:rPr>
          <w:rFonts w:hint="eastAsia" w:ascii="方正仿宋_GB2312" w:hAnsi="方正仿宋_GB2312" w:eastAsia="方正仿宋_GB2312" w:cs="方正仿宋_GB2312"/>
        </w:rPr>
        <w:t>从事民航安全检查的机构应当在实施危险品培训前，以及培训大纲修订和更新后，按照备案程序提交下列材料向所在地地区管理管理局申请备案，完成备案后方可实施培训：</w:t>
      </w:r>
    </w:p>
    <w:p w14:paraId="6EF2C74A">
      <w:pPr>
        <w:pStyle w:val="15"/>
        <w:ind w:left="600"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（一）《危险品培训大纲备案表》（见附录3）；</w:t>
      </w:r>
    </w:p>
    <w:p w14:paraId="042033BF">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（二） 危险品培训大纲；</w:t>
      </w:r>
    </w:p>
    <w:p w14:paraId="7F945645">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（三） 危险品培训管理制度。</w:t>
      </w:r>
    </w:p>
    <w:p w14:paraId="60FA7C08">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备案材料齐全且符合形式要求的，地区管理局应在20日内予以公布；备案材料不齐全的应通知补充。</w:t>
      </w:r>
    </w:p>
    <w:p w14:paraId="23247E0C">
      <w:pPr>
        <w:outlineLvl w:val="1"/>
        <w:rPr>
          <w:rFonts w:hint="eastAsia" w:ascii="方正仿宋_GB2312" w:hAnsi="方正仿宋_GB2312" w:eastAsia="方正仿宋_GB2312" w:cs="方正仿宋_GB2312"/>
          <w:highlight w:val="yellow"/>
        </w:rPr>
      </w:pPr>
      <w:bookmarkStart w:id="233" w:name="_Toc15388"/>
      <w:bookmarkStart w:id="234" w:name="_Toc10715"/>
      <w:bookmarkStart w:id="235" w:name="_Toc680"/>
      <w:bookmarkStart w:id="236" w:name="_Toc14295"/>
      <w:bookmarkStart w:id="237" w:name="_Toc31842"/>
      <w:bookmarkStart w:id="238" w:name="_Toc6873"/>
      <w:bookmarkStart w:id="239" w:name="_Toc13369"/>
      <w:bookmarkStart w:id="240" w:name="_Toc1177"/>
      <w:bookmarkStart w:id="241" w:name="_Toc16994"/>
      <w:bookmarkStart w:id="242" w:name="_Toc15545"/>
      <w:r>
        <w:rPr>
          <w:rFonts w:hint="eastAsia" w:ascii="黑体" w:eastAsia="黑体" w:cs="黑体"/>
          <w:bCs/>
        </w:rPr>
        <w:t>第十六条</w:t>
      </w:r>
      <w:bookmarkEnd w:id="233"/>
      <w:bookmarkEnd w:id="234"/>
      <w:bookmarkEnd w:id="235"/>
      <w:bookmarkEnd w:id="236"/>
      <w:bookmarkEnd w:id="237"/>
      <w:bookmarkEnd w:id="238"/>
      <w:bookmarkEnd w:id="239"/>
      <w:bookmarkEnd w:id="240"/>
      <w:bookmarkEnd w:id="241"/>
      <w:r>
        <w:rPr>
          <w:rFonts w:hint="eastAsia" w:ascii="黑体" w:eastAsia="黑体" w:cs="黑体"/>
          <w:bCs/>
        </w:rPr>
        <w:t xml:space="preserve"> </w:t>
      </w:r>
      <w:bookmarkEnd w:id="242"/>
      <w:r>
        <w:rPr>
          <w:rFonts w:hint="eastAsia" w:ascii="方正仿宋_GB2312" w:hAnsi="方正仿宋_GB2312" w:eastAsia="方正仿宋_GB2312" w:cs="方正仿宋_GB2312"/>
        </w:rPr>
        <w:t>相关单位应在公司手册、培训大纲或管理制度等公司文件中明确危险品培训的责任和相应要求，包括但不限于：</w:t>
      </w:r>
    </w:p>
    <w:p w14:paraId="4665361B">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（一）管理危险品培训的部门和职责； </w:t>
      </w:r>
    </w:p>
    <w:p w14:paraId="34E74EE0">
      <w:pPr>
        <w:rPr>
          <w:rFonts w:hint="eastAsia" w:ascii="方正仿宋_GB2312" w:hAnsi="方正仿宋_GB2312" w:eastAsia="方正仿宋_GB2312" w:cs="方正仿宋_GB2312"/>
          <w:color w:val="FF0000"/>
        </w:rPr>
      </w:pPr>
      <w:r>
        <w:rPr>
          <w:rFonts w:hint="eastAsia" w:ascii="方正仿宋_GB2312" w:hAnsi="方正仿宋_GB2312" w:eastAsia="方正仿宋_GB2312" w:cs="方正仿宋_GB2312"/>
        </w:rPr>
        <w:t>（二）危险品培训的组织管理和培训大纲制定、维护的要求；</w:t>
      </w:r>
    </w:p>
    <w:p w14:paraId="6158D52F">
      <w:pPr>
        <w:rPr>
          <w:rFonts w:hint="eastAsia" w:ascii="方正仿宋_GB2312" w:hAnsi="方正仿宋_GB2312" w:eastAsia="方正仿宋_GB2312" w:cs="方正仿宋_GB2312"/>
          <w:color w:val="FF0000"/>
        </w:rPr>
      </w:pPr>
      <w:r>
        <w:rPr>
          <w:rFonts w:hint="eastAsia" w:ascii="方正仿宋_GB2312" w:hAnsi="方正仿宋_GB2312" w:eastAsia="方正仿宋_GB2312" w:cs="方正仿宋_GB2312"/>
        </w:rPr>
        <w:t>（三）授权或委托危险品培训机构开展危险品培训的流程和管理要求；</w:t>
      </w:r>
    </w:p>
    <w:p w14:paraId="3C1B5D9B">
      <w:pPr>
        <w:rPr>
          <w:rFonts w:hint="eastAsia" w:ascii="方正仿宋_GB2312" w:hAnsi="方正仿宋_GB2312" w:eastAsia="方正仿宋_GB2312" w:cs="方正仿宋_GB2312"/>
          <w:color w:val="FF0000"/>
        </w:rPr>
      </w:pPr>
      <w:r>
        <w:rPr>
          <w:rFonts w:hint="eastAsia" w:ascii="方正仿宋_GB2312" w:hAnsi="方正仿宋_GB2312" w:eastAsia="方正仿宋_GB2312" w:cs="方正仿宋_GB2312"/>
        </w:rPr>
        <w:t>（四）培训记录的管理要求。</w:t>
      </w:r>
    </w:p>
    <w:p w14:paraId="4A1C27D7">
      <w:pPr>
        <w:rPr>
          <w:rFonts w:hint="eastAsia" w:ascii="方正仿宋_GB2312" w:hAnsi="方正仿宋_GB2312" w:eastAsia="方正仿宋_GB2312" w:cs="方正仿宋_GB2312"/>
          <w:highlight w:val="yellow"/>
        </w:rPr>
      </w:pPr>
      <w:r>
        <w:rPr>
          <w:rFonts w:hint="eastAsia" w:ascii="方正仿宋_GB2312" w:hAnsi="方正仿宋_GB2312" w:eastAsia="方正仿宋_GB2312" w:cs="方正仿宋_GB2312"/>
        </w:rPr>
        <w:t>（五）培训质量监控和自查的相关要求。</w:t>
      </w:r>
    </w:p>
    <w:p w14:paraId="6E181D19">
      <w:pPr>
        <w:rPr>
          <w:rFonts w:hint="eastAsia"/>
        </w:rPr>
      </w:pPr>
      <w:r>
        <w:rPr>
          <w:rFonts w:hint="eastAsia" w:ascii="方正仿宋_GB2312" w:hAnsi="方正仿宋_GB2312" w:eastAsia="方正仿宋_GB2312" w:cs="方正仿宋_GB2312"/>
        </w:rPr>
        <w:t>相关单位同时为培训机构的，可将本条要求的内容视情与培训机构的管理制度合并。</w:t>
      </w:r>
    </w:p>
    <w:p w14:paraId="1A1124A3">
      <w:pPr>
        <w:ind w:firstLineChars="0"/>
        <w:rPr>
          <w:rFonts w:hint="eastAsia" w:ascii="方正仿宋_GB2312" w:hAnsi="方正仿宋_GB2312" w:eastAsia="方正仿宋_GB2312" w:cs="方正仿宋_GB2312"/>
        </w:rPr>
      </w:pPr>
      <w:bookmarkStart w:id="243" w:name="_Toc21558"/>
      <w:bookmarkStart w:id="244" w:name="_Toc15024"/>
      <w:bookmarkStart w:id="245" w:name="_Toc2288"/>
      <w:bookmarkStart w:id="246" w:name="_Toc10399"/>
      <w:bookmarkStart w:id="247" w:name="_Toc25825"/>
      <w:r>
        <w:rPr>
          <w:rFonts w:hint="eastAsia" w:ascii="黑体" w:eastAsia="黑体" w:cs="黑体"/>
          <w:bCs/>
        </w:rPr>
        <w:t>第十七条</w:t>
      </w:r>
      <w:bookmarkEnd w:id="243"/>
      <w:bookmarkEnd w:id="244"/>
      <w:bookmarkEnd w:id="245"/>
      <w:bookmarkEnd w:id="246"/>
      <w:bookmarkEnd w:id="247"/>
      <w:r>
        <w:rPr>
          <w:rFonts w:hint="eastAsia" w:ascii="黑体" w:eastAsia="黑体" w:cs="黑体"/>
          <w:bCs/>
        </w:rPr>
        <w:t xml:space="preserve"> </w:t>
      </w:r>
      <w:r>
        <w:rPr>
          <w:rFonts w:hint="eastAsia" w:ascii="方正仿宋_GB2312" w:hAnsi="方正仿宋_GB2312" w:eastAsia="方正仿宋_GB2312" w:cs="方正仿宋_GB2312"/>
        </w:rPr>
        <w:t>培训大纲应由制定单位或机构及时修订和更新，确保持续符合管理规定、本办法和国际民航组织《危险物品安全航空运输技术细则》的要求。</w:t>
      </w:r>
    </w:p>
    <w:p w14:paraId="40218434">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修订或更新后的危险品培训大纲应在地区管理局审查或备案后实施。</w:t>
      </w:r>
    </w:p>
    <w:p w14:paraId="54990D12">
      <w:pPr>
        <w:rPr>
          <w:rFonts w:hint="eastAsia"/>
        </w:rPr>
      </w:pPr>
    </w:p>
    <w:p w14:paraId="35839607">
      <w:pPr>
        <w:pStyle w:val="2"/>
        <w:numPr>
          <w:ilvl w:val="0"/>
          <w:numId w:val="1"/>
        </w:numPr>
        <w:spacing w:before="105" w:after="327" w:afterLines="105" w:line="360" w:lineRule="auto"/>
        <w:ind w:firstLine="0" w:firstLineChars="0"/>
        <w:jc w:val="center"/>
        <w:rPr>
          <w:rFonts w:hint="eastAsia" w:ascii="宋体" w:hAnsi="宋体" w:eastAsia="宋体" w:cs="Times New Roman"/>
        </w:rPr>
      </w:pPr>
      <w:bookmarkStart w:id="248" w:name="_Toc6894"/>
      <w:bookmarkStart w:id="249" w:name="_Toc1441"/>
      <w:bookmarkStart w:id="250" w:name="_Toc14119"/>
      <w:bookmarkStart w:id="251" w:name="_Toc19923"/>
      <w:bookmarkStart w:id="252" w:name="_Toc2979"/>
      <w:bookmarkStart w:id="253" w:name="_Toc820"/>
      <w:bookmarkStart w:id="254" w:name="_Toc26948"/>
      <w:bookmarkStart w:id="255" w:name="_Toc27263"/>
      <w:bookmarkStart w:id="256" w:name="_Toc12270"/>
      <w:bookmarkStart w:id="257" w:name="_Toc22893"/>
      <w:r>
        <w:rPr>
          <w:rFonts w:hint="eastAsia" w:ascii="宋体" w:hAnsi="宋体" w:eastAsia="宋体" w:cs="Times New Roman"/>
        </w:rPr>
        <w:t>培训机构</w:t>
      </w:r>
      <w:bookmarkEnd w:id="248"/>
      <w:bookmarkEnd w:id="249"/>
      <w:bookmarkEnd w:id="250"/>
      <w:bookmarkEnd w:id="251"/>
      <w:bookmarkEnd w:id="252"/>
      <w:bookmarkEnd w:id="253"/>
      <w:bookmarkEnd w:id="254"/>
      <w:bookmarkEnd w:id="255"/>
      <w:bookmarkEnd w:id="256"/>
      <w:bookmarkEnd w:id="257"/>
    </w:p>
    <w:p w14:paraId="7AE8B4AF">
      <w:pPr>
        <w:rPr>
          <w:rFonts w:hint="eastAsia" w:ascii="方正仿宋_GB2312" w:hAnsi="方正仿宋_GB2312" w:eastAsia="方正仿宋_GB2312" w:cs="方正仿宋_GB2312"/>
        </w:rPr>
      </w:pPr>
      <w:bookmarkStart w:id="258" w:name="_Toc16079"/>
      <w:bookmarkStart w:id="259" w:name="_Toc18831"/>
      <w:bookmarkStart w:id="260" w:name="_Toc12737"/>
      <w:bookmarkStart w:id="261" w:name="_Toc111"/>
      <w:bookmarkStart w:id="262" w:name="_Toc25475"/>
      <w:bookmarkStart w:id="263" w:name="_Toc12084"/>
      <w:bookmarkStart w:id="264" w:name="_Toc1379"/>
      <w:bookmarkStart w:id="265" w:name="_Toc24257"/>
      <w:bookmarkStart w:id="266" w:name="_Toc14622"/>
      <w:r>
        <w:rPr>
          <w:rFonts w:hint="eastAsia" w:ascii="黑体" w:eastAsia="黑体" w:cs="黑体"/>
          <w:bCs/>
        </w:rPr>
        <w:t>第十八条</w:t>
      </w:r>
      <w:bookmarkEnd w:id="258"/>
      <w:bookmarkEnd w:id="259"/>
      <w:bookmarkEnd w:id="260"/>
      <w:bookmarkEnd w:id="261"/>
      <w:bookmarkEnd w:id="262"/>
      <w:bookmarkEnd w:id="263"/>
      <w:bookmarkEnd w:id="264"/>
      <w:bookmarkEnd w:id="265"/>
      <w:bookmarkEnd w:id="266"/>
      <w:r>
        <w:rPr>
          <w:rFonts w:hint="eastAsia" w:ascii="黑体" w:eastAsia="黑体" w:cs="黑体"/>
          <w:bCs/>
        </w:rPr>
        <w:t xml:space="preserve"> </w:t>
      </w:r>
      <w:r>
        <w:rPr>
          <w:rFonts w:hint="eastAsia" w:ascii="方正仿宋_GB2312" w:hAnsi="方正仿宋_GB2312" w:eastAsia="方正仿宋_GB2312" w:cs="方正仿宋_GB2312"/>
        </w:rPr>
        <w:t>危险品培训机构应当在首次开展培训活动30日前，向机构所在地地区管理局备案，在备案时提交下列材料，并确保其真实、完整、有效：</w:t>
      </w:r>
    </w:p>
    <w:p w14:paraId="027C202D">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（一）危险品培训机构备案信息表（见附录4）；</w:t>
      </w:r>
    </w:p>
    <w:p w14:paraId="502DFDC9">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（二）法人资格证明；</w:t>
      </w:r>
    </w:p>
    <w:p w14:paraId="14005D1A">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（三）危险品培训大纲；</w:t>
      </w:r>
    </w:p>
    <w:p w14:paraId="6F472165">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（四）培训管理制度；</w:t>
      </w:r>
    </w:p>
    <w:p w14:paraId="223B3720">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（五）3名及以上符合要求的危险品培训教员信息及其仅服务于该机构的证明材料。</w:t>
      </w:r>
    </w:p>
    <w:p w14:paraId="6DBFCEE1">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（六）按照管理规定要求及备案内容开展危险品培训并保持危险品培训大纲持续更新的声明。</w:t>
      </w:r>
    </w:p>
    <w:p w14:paraId="28393B7E">
      <w:pPr>
        <w:rPr>
          <w:rFonts w:hint="eastAsia" w:ascii="方正仿宋_GB2312" w:hAnsi="方正仿宋_GB2312" w:eastAsia="方正仿宋_GB2312" w:cs="方正仿宋_GB2312"/>
        </w:rPr>
      </w:pPr>
      <w:bookmarkStart w:id="267" w:name="_Toc5413"/>
      <w:r>
        <w:rPr>
          <w:rFonts w:hint="eastAsia" w:ascii="方正仿宋_GB2312" w:hAnsi="方正仿宋_GB2312" w:eastAsia="方正仿宋_GB2312" w:cs="方正仿宋_GB2312"/>
        </w:rPr>
        <w:t>备案材料齐全且符合形式要求的，地区管理局应在20日内予以公布；备案材料不齐全的应通知补充。</w:t>
      </w:r>
      <w:bookmarkEnd w:id="267"/>
    </w:p>
    <w:p w14:paraId="3C22CCEC">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备案材料内容发生变化的，危险品培训机构应当及时对变化内容进行更新，并在地区管理局完成备案后实施。</w:t>
      </w:r>
    </w:p>
    <w:p w14:paraId="4B4C3065">
      <w:pPr>
        <w:rPr>
          <w:rFonts w:hint="eastAsia" w:ascii="方正仿宋_GB2312" w:hAnsi="方正仿宋_GB2312" w:eastAsia="方正仿宋_GB2312" w:cs="方正仿宋_GB2312"/>
        </w:rPr>
      </w:pPr>
      <w:bookmarkStart w:id="268" w:name="_Toc22637"/>
      <w:bookmarkStart w:id="269" w:name="_Toc16317"/>
      <w:bookmarkStart w:id="270" w:name="_Toc3471"/>
      <w:bookmarkStart w:id="271" w:name="_Toc27873"/>
      <w:bookmarkStart w:id="272" w:name="_Toc8341"/>
      <w:bookmarkStart w:id="273" w:name="_Toc24479"/>
      <w:bookmarkStart w:id="274" w:name="_Toc16677"/>
      <w:bookmarkStart w:id="275" w:name="_Toc1768"/>
      <w:r>
        <w:rPr>
          <w:rFonts w:hint="eastAsia" w:ascii="黑体" w:eastAsia="黑体" w:cs="黑体"/>
          <w:bCs/>
        </w:rPr>
        <w:t>第十九条</w:t>
      </w:r>
      <w:bookmarkEnd w:id="268"/>
      <w:bookmarkEnd w:id="269"/>
      <w:bookmarkEnd w:id="270"/>
      <w:bookmarkEnd w:id="271"/>
      <w:bookmarkEnd w:id="272"/>
      <w:bookmarkEnd w:id="273"/>
      <w:bookmarkEnd w:id="274"/>
      <w:bookmarkEnd w:id="275"/>
      <w:r>
        <w:rPr>
          <w:rFonts w:hint="eastAsia" w:ascii="黑体" w:eastAsia="黑体" w:cs="黑体"/>
          <w:bCs/>
        </w:rPr>
        <w:t xml:space="preserve"> </w:t>
      </w:r>
      <w:r>
        <w:rPr>
          <w:rFonts w:hint="eastAsia" w:ascii="方正仿宋_GB2312" w:hAnsi="方正仿宋_GB2312" w:eastAsia="方正仿宋_GB2312" w:cs="方正仿宋_GB2312"/>
        </w:rPr>
        <w:t>危险品培训机构应制定管理制度，规范机构管理和培训活动。管理制度应包括：</w:t>
      </w:r>
    </w:p>
    <w:p w14:paraId="505AC4C3">
      <w:pPr>
        <w:pStyle w:val="15"/>
        <w:numPr>
          <w:ilvl w:val="0"/>
          <w:numId w:val="5"/>
        </w:numPr>
        <w:ind w:left="18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依据相关单位危险品培训大纲开展培训活动的流程；</w:t>
      </w:r>
    </w:p>
    <w:p w14:paraId="07EF1994">
      <w:pPr>
        <w:pStyle w:val="15"/>
        <w:numPr>
          <w:ilvl w:val="0"/>
          <w:numId w:val="5"/>
        </w:numPr>
        <w:ind w:left="18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确保培训活动符合本办法和相关规定的措施和要求；</w:t>
      </w:r>
    </w:p>
    <w:p w14:paraId="1DF0781B">
      <w:pPr>
        <w:pStyle w:val="15"/>
        <w:numPr>
          <w:ilvl w:val="0"/>
          <w:numId w:val="5"/>
        </w:numPr>
        <w:ind w:left="18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选拔、评估和聘用危险品教员的标准（如适用），教员能力保持和提升的要求，教员档案的管理；</w:t>
      </w:r>
    </w:p>
    <w:p w14:paraId="6187E867">
      <w:pPr>
        <w:pStyle w:val="15"/>
        <w:numPr>
          <w:ilvl w:val="0"/>
          <w:numId w:val="5"/>
        </w:numPr>
        <w:ind w:left="18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制定和维护培训大纲的要求；</w:t>
      </w:r>
    </w:p>
    <w:p w14:paraId="0145DFE0">
      <w:pPr>
        <w:pStyle w:val="15"/>
        <w:numPr>
          <w:ilvl w:val="0"/>
          <w:numId w:val="5"/>
        </w:numPr>
        <w:ind w:left="18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备案和变更信息的要求；</w:t>
      </w:r>
    </w:p>
    <w:p w14:paraId="350B4B83">
      <w:pPr>
        <w:pStyle w:val="15"/>
        <w:numPr>
          <w:ilvl w:val="0"/>
          <w:numId w:val="5"/>
        </w:numPr>
        <w:ind w:left="18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建立并实施定期教学研讨、教学质量评价和符合性自查的措施和要求；</w:t>
      </w:r>
    </w:p>
    <w:p w14:paraId="5A63B8C8">
      <w:pPr>
        <w:pStyle w:val="15"/>
        <w:numPr>
          <w:ilvl w:val="0"/>
          <w:numId w:val="5"/>
        </w:numPr>
        <w:ind w:left="180" w:firstLineChars="0"/>
        <w:outlineLvl w:val="1"/>
        <w:rPr>
          <w:rFonts w:hint="eastAsia" w:ascii="方正仿宋_GB2312" w:hAnsi="方正仿宋_GB2312" w:eastAsia="方正仿宋_GB2312" w:cs="方正仿宋_GB2312"/>
        </w:rPr>
      </w:pPr>
      <w:bookmarkStart w:id="276" w:name="_Toc12725"/>
      <w:r>
        <w:rPr>
          <w:rFonts w:hint="eastAsia" w:ascii="方正仿宋_GB2312" w:hAnsi="方正仿宋_GB2312" w:eastAsia="方正仿宋_GB2312" w:cs="方正仿宋_GB2312"/>
        </w:rPr>
        <w:t>保存培训记录的要求和培训合格证明的样例（如适用）；</w:t>
      </w:r>
      <w:bookmarkEnd w:id="276"/>
    </w:p>
    <w:p w14:paraId="3622C7FD">
      <w:pPr>
        <w:pStyle w:val="15"/>
        <w:numPr>
          <w:ilvl w:val="0"/>
          <w:numId w:val="5"/>
        </w:numPr>
        <w:ind w:left="18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明确危险品培训的管理部门，包括机构管理人员的设置及职责（如适用）。</w:t>
      </w:r>
    </w:p>
    <w:p w14:paraId="32A693C7">
      <w:pPr>
        <w:rPr>
          <w:rFonts w:hint="eastAsia" w:ascii="方正仿宋_GB2312" w:hAnsi="方正仿宋_GB2312" w:eastAsia="方正仿宋_GB2312" w:cs="方正仿宋_GB2312"/>
        </w:rPr>
      </w:pPr>
      <w:bookmarkStart w:id="277" w:name="_Toc9992"/>
      <w:bookmarkStart w:id="278" w:name="_Toc29060"/>
      <w:bookmarkStart w:id="279" w:name="_Toc20952"/>
      <w:r>
        <w:rPr>
          <w:rFonts w:hint="eastAsia" w:ascii="黑体" w:eastAsia="黑体" w:cs="黑体"/>
          <w:bCs/>
        </w:rPr>
        <w:t>第二十条</w:t>
      </w:r>
      <w:bookmarkStart w:id="280" w:name="_Toc30583"/>
      <w:r>
        <w:rPr>
          <w:rFonts w:hint="eastAsia" w:ascii="黑体" w:eastAsia="黑体" w:cs="黑体"/>
          <w:bCs/>
        </w:rPr>
        <w:t xml:space="preserve"> </w:t>
      </w:r>
      <w:r>
        <w:rPr>
          <w:rFonts w:hint="eastAsia" w:ascii="方正仿宋_GB2312" w:hAnsi="方正仿宋_GB2312" w:eastAsia="方正仿宋_GB2312" w:cs="方正仿宋_GB2312"/>
        </w:rPr>
        <w:t>危险品培训机构应依据相关单位的培训大纲和培训管理制度的要求开展培训，并在接受相关单位的委托培训前，在培训协议中明确其承担培训活动的内容和具体培训课程。</w:t>
      </w:r>
      <w:bookmarkEnd w:id="280"/>
    </w:p>
    <w:p w14:paraId="111DFFED">
      <w:pPr>
        <w:rPr>
          <w:rFonts w:hint="eastAsia" w:ascii="方正仿宋_GB2312" w:hAnsi="方正仿宋_GB2312" w:eastAsia="方正仿宋_GB2312" w:cs="方正仿宋_GB2312"/>
        </w:rPr>
      </w:pPr>
      <w:r>
        <w:rPr>
          <w:rFonts w:hint="eastAsia" w:ascii="黑体" w:eastAsia="黑体" w:cs="方正仿宋_GB2312"/>
        </w:rPr>
        <w:t>第二十一</w:t>
      </w:r>
      <w:r>
        <w:rPr>
          <w:rFonts w:ascii="黑体" w:eastAsia="黑体" w:cs="方正仿宋_GB2312"/>
        </w:rPr>
        <w:t>条</w:t>
      </w:r>
      <w:r>
        <w:rPr>
          <w:rFonts w:hint="eastAsia" w:ascii="方正仿宋_GB2312" w:hAnsi="方正仿宋_GB2312" w:eastAsia="方正仿宋_GB2312" w:cs="方正仿宋_GB2312"/>
        </w:rPr>
        <w:t xml:space="preserve"> 危险品培训机构应确保其教员按照教员类别及授课范围实施相应的危险品培训。</w:t>
      </w:r>
    </w:p>
    <w:p w14:paraId="0BBE1B01">
      <w:pPr>
        <w:rPr>
          <w:rFonts w:hint="eastAsia" w:ascii="方正仿宋_GB2312" w:hAnsi="方正仿宋_GB2312" w:eastAsia="方正仿宋_GB2312" w:cs="方正仿宋_GB2312"/>
        </w:rPr>
      </w:pPr>
      <w:r>
        <w:rPr>
          <w:rFonts w:hint="eastAsia" w:ascii="黑体" w:eastAsia="黑体" w:cs="方正仿宋_GB2312"/>
        </w:rPr>
        <w:t>第二十二条</w:t>
      </w:r>
      <w:r>
        <w:rPr>
          <w:rFonts w:hint="eastAsia" w:ascii="方正仿宋_GB2312" w:hAnsi="方正仿宋_GB2312" w:eastAsia="方正仿宋_GB2312" w:cs="方正仿宋_GB2312"/>
        </w:rPr>
        <w:t xml:space="preserve"> 危险品培训机构在未经授权情况下，不得以民航行政主管部门名义进行宣传、招生、发证等商业性培训和其他相关活动。</w:t>
      </w:r>
    </w:p>
    <w:p w14:paraId="64D627CA">
      <w:pPr>
        <w:rPr>
          <w:rFonts w:hint="eastAsia" w:ascii="方正仿宋_GB2312" w:hAnsi="方正仿宋_GB2312" w:eastAsia="方正仿宋_GB2312" w:cs="方正仿宋_GB2312"/>
        </w:rPr>
      </w:pPr>
      <w:bookmarkStart w:id="281" w:name="_Toc28798"/>
      <w:bookmarkStart w:id="282" w:name="_Toc31327"/>
      <w:bookmarkStart w:id="283" w:name="_Toc3400"/>
      <w:bookmarkStart w:id="284" w:name="_Toc15648"/>
      <w:bookmarkStart w:id="285" w:name="_Toc5651"/>
      <w:r>
        <w:rPr>
          <w:rFonts w:hint="eastAsia" w:ascii="黑体" w:eastAsia="黑体" w:cs="黑体"/>
          <w:bCs/>
        </w:rPr>
        <w:t>第二十三条</w:t>
      </w:r>
      <w:bookmarkEnd w:id="277"/>
      <w:bookmarkEnd w:id="278"/>
      <w:bookmarkEnd w:id="279"/>
      <w:bookmarkEnd w:id="281"/>
      <w:bookmarkEnd w:id="282"/>
      <w:bookmarkEnd w:id="283"/>
      <w:bookmarkEnd w:id="284"/>
      <w:bookmarkEnd w:id="285"/>
      <w:r>
        <w:rPr>
          <w:rFonts w:hint="eastAsia" w:ascii="黑体" w:eastAsia="黑体" w:cs="黑体"/>
          <w:bCs/>
        </w:rPr>
        <w:t xml:space="preserve"> </w:t>
      </w:r>
      <w:r>
        <w:rPr>
          <w:rFonts w:hint="eastAsia" w:ascii="方正仿宋_GB2312" w:hAnsi="方正仿宋_GB2312" w:eastAsia="方正仿宋_GB2312" w:cs="方正仿宋_GB2312"/>
        </w:rPr>
        <w:t>危险品培训机构应每12个月至少组织一次教学研讨活动，对培训机构管理、培训质量、教员能力等方面进行评价，制定自查措施，改进培训效果。</w:t>
      </w:r>
    </w:p>
    <w:p w14:paraId="304D9F00">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因条件限制不能履行自查责任，或不能客观对机构自身的培训能力进行评价时，应当按照民航行业相关标准，采用国家批准的认证机构提供的培训服务认证完成自查或评价。</w:t>
      </w:r>
    </w:p>
    <w:p w14:paraId="68329E64">
      <w:pPr>
        <w:rPr>
          <w:rFonts w:hint="eastAsia" w:ascii="方正仿宋_GB2312" w:hAnsi="方正仿宋_GB2312" w:eastAsia="方正仿宋_GB2312" w:cs="方正仿宋_GB2312"/>
        </w:rPr>
      </w:pPr>
      <w:bookmarkStart w:id="286" w:name="_Toc26308"/>
      <w:bookmarkStart w:id="287" w:name="_Toc21802"/>
      <w:bookmarkStart w:id="288" w:name="_Toc10348"/>
      <w:bookmarkStart w:id="289" w:name="_Toc4762"/>
      <w:bookmarkStart w:id="290" w:name="_Toc23057"/>
      <w:bookmarkStart w:id="291" w:name="_Toc6861"/>
      <w:r>
        <w:rPr>
          <w:rFonts w:hint="eastAsia" w:ascii="黑体" w:eastAsia="黑体" w:cs="黑体"/>
          <w:bCs/>
        </w:rPr>
        <w:t>第二十四条</w:t>
      </w:r>
      <w:bookmarkEnd w:id="286"/>
      <w:bookmarkEnd w:id="287"/>
      <w:bookmarkEnd w:id="288"/>
      <w:bookmarkEnd w:id="289"/>
      <w:bookmarkEnd w:id="290"/>
      <w:bookmarkEnd w:id="291"/>
      <w:r>
        <w:rPr>
          <w:rFonts w:hint="eastAsia" w:ascii="黑体" w:eastAsia="黑体" w:cs="黑体"/>
          <w:bCs/>
        </w:rPr>
        <w:t xml:space="preserve"> </w:t>
      </w:r>
      <w:r>
        <w:rPr>
          <w:rFonts w:hint="eastAsia" w:ascii="方正仿宋_GB2312" w:hAnsi="方正仿宋_GB2312" w:eastAsia="方正仿宋_GB2312" w:cs="方正仿宋_GB2312"/>
        </w:rPr>
        <w:t>危险品培训机构拟变更信息或注销的，应在变更后20日内向原备案民航地区管理局变更或取消备案。</w:t>
      </w:r>
    </w:p>
    <w:p w14:paraId="40C4FF40">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危险品培训机构终止培训的，应当自终止培训之日起30日内书面告知原备案民航地区管理局。</w:t>
      </w:r>
    </w:p>
    <w:p w14:paraId="3F572550">
      <w:pPr>
        <w:rPr>
          <w:rFonts w:hint="eastAsia"/>
        </w:rPr>
      </w:pPr>
    </w:p>
    <w:p w14:paraId="68F781B5">
      <w:pPr>
        <w:pStyle w:val="2"/>
        <w:numPr>
          <w:ilvl w:val="0"/>
          <w:numId w:val="1"/>
        </w:numPr>
        <w:spacing w:before="105" w:after="327" w:afterLines="105" w:line="360" w:lineRule="auto"/>
        <w:ind w:firstLine="0" w:firstLineChars="0"/>
        <w:jc w:val="center"/>
        <w:rPr>
          <w:rFonts w:hint="eastAsia" w:ascii="宋体" w:hAnsi="宋体" w:eastAsia="宋体" w:cs="Times New Roman"/>
        </w:rPr>
      </w:pPr>
      <w:bookmarkStart w:id="292" w:name="_Toc21140"/>
      <w:bookmarkStart w:id="293" w:name="_Toc20670"/>
      <w:bookmarkStart w:id="294" w:name="_Toc22863"/>
      <w:bookmarkStart w:id="295" w:name="_Toc20580"/>
      <w:bookmarkStart w:id="296" w:name="_Toc6185"/>
      <w:bookmarkStart w:id="297" w:name="_Toc10772"/>
      <w:bookmarkStart w:id="298" w:name="_Toc24568"/>
      <w:bookmarkStart w:id="299" w:name="_Toc3377"/>
      <w:bookmarkStart w:id="300" w:name="_Toc13722"/>
      <w:bookmarkStart w:id="301" w:name="_Toc27216"/>
      <w:r>
        <w:rPr>
          <w:rFonts w:hint="eastAsia" w:ascii="宋体" w:hAnsi="宋体" w:eastAsia="宋体" w:cs="Times New Roman"/>
        </w:rPr>
        <w:t>培训教员</w:t>
      </w:r>
      <w:bookmarkEnd w:id="292"/>
      <w:bookmarkEnd w:id="293"/>
      <w:bookmarkEnd w:id="294"/>
      <w:bookmarkEnd w:id="295"/>
      <w:bookmarkEnd w:id="296"/>
      <w:bookmarkEnd w:id="297"/>
      <w:bookmarkEnd w:id="298"/>
      <w:bookmarkEnd w:id="299"/>
      <w:bookmarkEnd w:id="300"/>
      <w:bookmarkEnd w:id="301"/>
      <w:bookmarkStart w:id="302" w:name="_Toc28639"/>
      <w:bookmarkStart w:id="303" w:name="_Toc29824"/>
      <w:bookmarkStart w:id="304" w:name="_Toc199"/>
    </w:p>
    <w:p w14:paraId="1FF34EC1">
      <w:pPr>
        <w:rPr>
          <w:rFonts w:hint="eastAsia" w:ascii="方正仿宋_GB2312" w:hAnsi="方正仿宋_GB2312" w:eastAsia="方正仿宋_GB2312" w:cs="方正仿宋_GB2312"/>
        </w:rPr>
      </w:pPr>
      <w:bookmarkStart w:id="305" w:name="_Toc8934"/>
      <w:bookmarkStart w:id="306" w:name="_Toc13079"/>
      <w:bookmarkStart w:id="307" w:name="_Toc3408"/>
      <w:bookmarkStart w:id="308" w:name="_Toc31642"/>
      <w:bookmarkStart w:id="309" w:name="_Toc8359"/>
      <w:r>
        <w:rPr>
          <w:rFonts w:hint="eastAsia" w:ascii="黑体" w:eastAsia="黑体" w:cs="黑体"/>
          <w:bCs/>
        </w:rPr>
        <w:t>第二十五条</w:t>
      </w:r>
      <w:bookmarkEnd w:id="302"/>
      <w:bookmarkEnd w:id="303"/>
      <w:bookmarkEnd w:id="304"/>
      <w:bookmarkEnd w:id="305"/>
      <w:bookmarkEnd w:id="306"/>
      <w:bookmarkEnd w:id="307"/>
      <w:bookmarkEnd w:id="308"/>
      <w:bookmarkEnd w:id="309"/>
      <w:r>
        <w:rPr>
          <w:rFonts w:hint="eastAsia" w:ascii="黑体" w:eastAsia="黑体" w:cs="黑体"/>
          <w:bCs/>
        </w:rPr>
        <w:t xml:space="preserve"> </w:t>
      </w:r>
      <w:r>
        <w:rPr>
          <w:rFonts w:hint="eastAsia" w:ascii="方正仿宋_GB2312" w:hAnsi="方正仿宋_GB2312" w:eastAsia="方正仿宋_GB2312" w:cs="方正仿宋_GB2312"/>
        </w:rPr>
        <w:t>危险品教员按授课对象分为A类教员和B类教员。</w:t>
      </w:r>
    </w:p>
    <w:p w14:paraId="29F20C30">
      <w:pPr>
        <w:numPr>
          <w:ilvl w:val="255"/>
          <w:numId w:val="0"/>
        </w:numPr>
        <w:ind w:firstLine="600" w:firstLineChars="200"/>
        <w:outlineLvl w:val="1"/>
        <w:rPr>
          <w:rFonts w:hint="eastAsia" w:ascii="方正仿宋_GB2312" w:hAnsi="方正仿宋_GB2312" w:eastAsia="方正仿宋_GB2312" w:cs="方正仿宋_GB2312"/>
        </w:rPr>
      </w:pPr>
      <w:bookmarkStart w:id="310" w:name="_Toc9221"/>
      <w:r>
        <w:rPr>
          <w:rFonts w:hint="eastAsia" w:ascii="方正仿宋_GB2312" w:hAnsi="方正仿宋_GB2312" w:eastAsia="方正仿宋_GB2312" w:cs="方正仿宋_GB2312"/>
        </w:rPr>
        <w:t>A类教员：实施从业人员的危险品培训，应按照其可以培训的危险品职责备注授课范围。</w:t>
      </w:r>
    </w:p>
    <w:bookmarkEnd w:id="310"/>
    <w:p w14:paraId="5C4FF493">
      <w:pPr>
        <w:numPr>
          <w:ilvl w:val="255"/>
          <w:numId w:val="0"/>
        </w:numPr>
        <w:ind w:firstLine="600" w:firstLineChars="200"/>
        <w:outlineLvl w:val="1"/>
        <w:rPr>
          <w:rFonts w:hint="eastAsia" w:ascii="方正仿宋_GB2312" w:hAnsi="方正仿宋_GB2312" w:eastAsia="方正仿宋_GB2312" w:cs="方正仿宋_GB2312"/>
        </w:rPr>
      </w:pPr>
      <w:bookmarkStart w:id="311" w:name="_Toc11651"/>
      <w:r>
        <w:rPr>
          <w:rFonts w:hint="eastAsia" w:ascii="方正仿宋_GB2312" w:hAnsi="方正仿宋_GB2312" w:eastAsia="方正仿宋_GB2312" w:cs="方正仿宋_GB2312"/>
        </w:rPr>
        <w:t>B类教员：实施仅限于教员备案培训机构所属单位的培训大纲中除准备危险品货物、处理和接收危险品货物等职责以外其他危险品职责的危险品培训，应按照其可以培训的危险品职责备注授课范围。</w:t>
      </w:r>
    </w:p>
    <w:bookmarkEnd w:id="311"/>
    <w:p w14:paraId="702D5EE3">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危险品教员应按照本办法的要求，通过相应类别的教员能力评估，并在危险品培训机构完成相应备案程序后方可作为教员实施危险品培训。</w:t>
      </w:r>
    </w:p>
    <w:p w14:paraId="459A95E0">
      <w:pPr>
        <w:outlineLvl w:val="2"/>
        <w:rPr>
          <w:rFonts w:hint="eastAsia" w:ascii="方正仿宋_GB2312" w:hAnsi="方正仿宋_GB2312" w:eastAsia="方正仿宋_GB2312" w:cs="方正仿宋_GB2312"/>
        </w:rPr>
      </w:pPr>
      <w:bookmarkStart w:id="312" w:name="_Toc18447"/>
      <w:bookmarkStart w:id="313" w:name="_Toc1564"/>
      <w:bookmarkStart w:id="314" w:name="_Toc7672"/>
      <w:bookmarkStart w:id="315" w:name="_Toc23677"/>
      <w:bookmarkStart w:id="316" w:name="_Toc21252"/>
      <w:bookmarkStart w:id="317" w:name="_Toc13254"/>
      <w:bookmarkStart w:id="318" w:name="_Toc2361"/>
      <w:bookmarkStart w:id="319" w:name="_Toc21890"/>
      <w:r>
        <w:rPr>
          <w:rFonts w:hint="eastAsia" w:ascii="黑体" w:eastAsia="黑体" w:cs="黑体"/>
          <w:bCs/>
        </w:rPr>
        <w:t>第二十六条</w:t>
      </w:r>
      <w:bookmarkEnd w:id="312"/>
      <w:bookmarkEnd w:id="313"/>
      <w:bookmarkEnd w:id="314"/>
      <w:bookmarkEnd w:id="315"/>
      <w:bookmarkEnd w:id="316"/>
      <w:bookmarkEnd w:id="317"/>
      <w:bookmarkEnd w:id="318"/>
      <w:bookmarkEnd w:id="319"/>
      <w:r>
        <w:rPr>
          <w:rFonts w:hint="eastAsia" w:ascii="黑体" w:eastAsia="黑体" w:cs="黑体"/>
          <w:bCs/>
        </w:rPr>
        <w:t xml:space="preserve"> </w:t>
      </w:r>
      <w:r>
        <w:rPr>
          <w:rFonts w:hint="eastAsia" w:ascii="方正仿宋_GB2312" w:hAnsi="方正仿宋_GB2312" w:eastAsia="方正仿宋_GB2312" w:cs="方正仿宋_GB2312"/>
        </w:rPr>
        <w:t>危险品教员应满足以下条件：</w:t>
      </w:r>
    </w:p>
    <w:p w14:paraId="74C5D495">
      <w:pPr>
        <w:rPr>
          <w:rFonts w:hint="eastAsia" w:ascii="方正仿宋_GB2312" w:hAnsi="方正仿宋_GB2312" w:eastAsia="方正仿宋_GB2312" w:cs="方正仿宋_GB2312"/>
        </w:rPr>
      </w:pPr>
      <w:bookmarkStart w:id="320" w:name="_Toc19909"/>
      <w:bookmarkStart w:id="321" w:name="_Toc17201"/>
      <w:bookmarkStart w:id="322" w:name="_Toc11071"/>
      <w:bookmarkStart w:id="323" w:name="_Toc1429"/>
      <w:bookmarkStart w:id="324" w:name="_Toc1578"/>
      <w:r>
        <w:rPr>
          <w:rFonts w:hint="eastAsia" w:ascii="方正仿宋_GB2312" w:hAnsi="方正仿宋_GB2312" w:eastAsia="方正仿宋_GB2312" w:cs="方正仿宋_GB2312"/>
        </w:rPr>
        <w:t>（一）从事民航相关业务三年以上，熟悉民用航空危险品运输法律法规及相关政策；</w:t>
      </w:r>
    </w:p>
    <w:p w14:paraId="54EE5AAF">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（二）通过办理或接收危险品货物职责的危险品培训并考核优秀，且在培训有效期内；</w:t>
      </w:r>
    </w:p>
    <w:p w14:paraId="5E0351FE">
      <w:pPr>
        <w:rPr>
          <w:rFonts w:hint="eastAsia" w:ascii="方正仿宋_GB2312" w:hAnsi="方正仿宋_GB2312" w:eastAsia="方正仿宋_GB2312" w:cs="方正仿宋_GB2312"/>
        </w:rPr>
      </w:pPr>
      <w:bookmarkStart w:id="325" w:name="_Toc2469"/>
      <w:r>
        <w:rPr>
          <w:rFonts w:hint="eastAsia" w:ascii="方正仿宋_GB2312" w:hAnsi="方正仿宋_GB2312" w:eastAsia="方正仿宋_GB2312" w:cs="方正仿宋_GB2312"/>
        </w:rPr>
        <w:t>（三）</w:t>
      </w:r>
      <w:bookmarkEnd w:id="325"/>
      <w:r>
        <w:rPr>
          <w:rFonts w:hint="eastAsia" w:ascii="方正仿宋_GB2312" w:hAnsi="方正仿宋_GB2312" w:eastAsia="方正仿宋_GB2312" w:cs="方正仿宋_GB2312"/>
        </w:rPr>
        <w:t>在拟授课危险品职责的相关岗位完成实操培训或至少5天的实习。两年内在拟授课危险品职责相关岗位的从业经历可以替代实习；</w:t>
      </w:r>
    </w:p>
    <w:p w14:paraId="5DA439B6">
      <w:pPr>
        <w:outlineLvl w:val="1"/>
        <w:rPr>
          <w:rFonts w:hint="eastAsia" w:ascii="方正仿宋_GB2312" w:hAnsi="方正仿宋_GB2312" w:eastAsia="方正仿宋_GB2312" w:cs="方正仿宋_GB2312"/>
        </w:rPr>
      </w:pPr>
      <w:bookmarkStart w:id="326" w:name="_Toc30239"/>
      <w:r>
        <w:rPr>
          <w:rFonts w:hint="eastAsia" w:ascii="方正仿宋_GB2312" w:hAnsi="方正仿宋_GB2312" w:eastAsia="方正仿宋_GB2312" w:cs="方正仿宋_GB2312"/>
        </w:rPr>
        <w:t>（四）通过教员能力评估。</w:t>
      </w:r>
      <w:bookmarkEnd w:id="326"/>
    </w:p>
    <w:p w14:paraId="6E01B540">
      <w:pPr>
        <w:ind w:firstLineChars="0"/>
        <w:rPr>
          <w:rFonts w:hint="eastAsia" w:ascii="方正仿宋_GB2312" w:hAnsi="方正仿宋_GB2312" w:eastAsia="方正仿宋_GB2312" w:cs="方正仿宋_GB2312"/>
        </w:rPr>
      </w:pPr>
      <w:r>
        <w:rPr>
          <w:rFonts w:hint="eastAsia" w:ascii="黑体" w:eastAsia="黑体" w:cs="黑体"/>
          <w:bCs/>
        </w:rPr>
        <w:t>第二十七条</w:t>
      </w:r>
      <w:bookmarkEnd w:id="320"/>
      <w:bookmarkEnd w:id="321"/>
      <w:bookmarkEnd w:id="322"/>
      <w:bookmarkEnd w:id="323"/>
      <w:bookmarkEnd w:id="324"/>
      <w:r>
        <w:rPr>
          <w:rFonts w:hint="eastAsia" w:ascii="方正仿宋_GB2312" w:hAnsi="方正仿宋_GB2312" w:eastAsia="方正仿宋_GB2312" w:cs="方正仿宋_GB2312"/>
        </w:rPr>
        <w:t xml:space="preserve"> 申请A类教员的人员，应在接受教员能力评估前，向其危险品培训机构所在地地区管理局提供以下材料：</w:t>
      </w:r>
    </w:p>
    <w:p w14:paraId="5D5EB2A1">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（一）教员能力评估申请表（见附录5）；</w:t>
      </w:r>
    </w:p>
    <w:p w14:paraId="6C7BC626">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（二）从业经历证明；  </w:t>
      </w:r>
    </w:p>
    <w:p w14:paraId="7F8EF7FF">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（三）危险品教员的参训记录；</w:t>
      </w:r>
    </w:p>
    <w:p w14:paraId="0B3CE580">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（四）相关岗位的实习经历或实操培训的证明；</w:t>
      </w:r>
    </w:p>
    <w:p w14:paraId="59CD25BB">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（五）申请人员应为危险品培训机构或其所属单位的正式员工；与危险品培训机构具有劳务协议且有其他单位劳动关系的人员，应由其所属单位出具书面同意函；</w:t>
      </w:r>
    </w:p>
    <w:p w14:paraId="7D08318E">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（六）从事危险品教学连续5年以上。</w:t>
      </w:r>
    </w:p>
    <w:p w14:paraId="6DD1BDA9">
      <w:pPr>
        <w:rPr>
          <w:rFonts w:hint="eastAsia" w:ascii="方正仿宋_GB2312" w:hAnsi="方正仿宋_GB2312" w:eastAsia="方正仿宋_GB2312" w:cs="方正仿宋_GB2312"/>
        </w:rPr>
      </w:pPr>
      <w:bookmarkStart w:id="327" w:name="_Toc13058"/>
      <w:bookmarkStart w:id="328" w:name="_Toc15389"/>
      <w:bookmarkStart w:id="329" w:name="_Toc24500"/>
      <w:bookmarkStart w:id="330" w:name="_Toc28100"/>
      <w:bookmarkStart w:id="331" w:name="_Toc29075"/>
      <w:bookmarkStart w:id="332" w:name="_Toc23236"/>
      <w:bookmarkStart w:id="333" w:name="_Toc9441"/>
      <w:bookmarkStart w:id="334" w:name="_Toc2225"/>
      <w:r>
        <w:rPr>
          <w:rFonts w:hint="eastAsia" w:ascii="黑体" w:eastAsia="黑体" w:cs="黑体"/>
          <w:bCs/>
        </w:rPr>
        <w:t>第二十八条</w:t>
      </w:r>
      <w:bookmarkEnd w:id="327"/>
      <w:bookmarkEnd w:id="328"/>
      <w:bookmarkEnd w:id="329"/>
      <w:bookmarkEnd w:id="330"/>
      <w:bookmarkEnd w:id="331"/>
      <w:bookmarkEnd w:id="332"/>
      <w:bookmarkEnd w:id="333"/>
      <w:bookmarkEnd w:id="334"/>
      <w:r>
        <w:rPr>
          <w:rFonts w:hint="eastAsia" w:ascii="黑体" w:eastAsia="黑体" w:cs="黑体"/>
          <w:bCs/>
        </w:rPr>
        <w:t xml:space="preserve"> </w:t>
      </w:r>
      <w:r>
        <w:rPr>
          <w:rFonts w:hint="eastAsia" w:ascii="方正仿宋_GB2312" w:hAnsi="方正仿宋_GB2312" w:eastAsia="方正仿宋_GB2312" w:cs="方正仿宋_GB2312"/>
        </w:rPr>
        <w:t>地区管理局对A类教员申请人员的能力进行评估。评估包括笔试和试讲两个环节；评估标准在危险品培训机构提交申请材料后10日内予以通知；评估结果于评估完成后20日内公布。</w:t>
      </w:r>
    </w:p>
    <w:p w14:paraId="0142D53C">
      <w:pPr>
        <w:ind w:firstLineChars="0"/>
        <w:rPr>
          <w:rFonts w:hint="eastAsia" w:ascii="方正仿宋_GB2312" w:hAnsi="方正仿宋_GB2312" w:eastAsia="方正仿宋_GB2312" w:cs="方正仿宋_GB2312"/>
        </w:rPr>
      </w:pPr>
      <w:r>
        <w:rPr>
          <w:rFonts w:hint="eastAsia" w:ascii="黑体" w:eastAsia="黑体" w:cs="黑体"/>
          <w:bCs/>
        </w:rPr>
        <w:t xml:space="preserve">第二十九条 </w:t>
      </w:r>
      <w:r>
        <w:rPr>
          <w:rFonts w:hint="eastAsia" w:ascii="方正仿宋_GB2312" w:hAnsi="方正仿宋_GB2312" w:eastAsia="方正仿宋_GB2312" w:cs="方正仿宋_GB2312"/>
        </w:rPr>
        <w:t>危险品培训机构参照本办法A类教员能力评估要求开展本机构B类教员申请人员的能力评估。</w:t>
      </w:r>
    </w:p>
    <w:p w14:paraId="1A915048">
      <w:pPr>
        <w:ind w:firstLineChars="0"/>
        <w:rPr>
          <w:rFonts w:hint="eastAsia" w:ascii="方正仿宋_GB2312" w:hAnsi="方正仿宋_GB2312" w:eastAsia="方正仿宋_GB2312" w:cs="方正仿宋_GB2312"/>
        </w:rPr>
      </w:pPr>
      <w:r>
        <w:rPr>
          <w:rFonts w:hint="eastAsia" w:ascii="黑体" w:eastAsia="黑体" w:cs="黑体"/>
          <w:bCs/>
        </w:rPr>
        <w:t>第三十条</w:t>
      </w:r>
      <w:r>
        <w:rPr>
          <w:rFonts w:hint="eastAsia" w:ascii="方正仿宋_GB2312" w:hAnsi="方正仿宋_GB2312" w:eastAsia="方正仿宋_GB2312" w:cs="方正仿宋_GB2312"/>
        </w:rPr>
        <w:t xml:space="preserve"> 通过危险品教员能力评估的人员，且满足相关单位或危险品培训机构聘用标准完成岗位聘用，由其所属危险品培训机构按本办法第十八条要求完成备案。</w:t>
      </w:r>
    </w:p>
    <w:p w14:paraId="78666596">
      <w:pPr>
        <w:ind w:firstLineChars="0"/>
        <w:rPr>
          <w:rFonts w:hint="eastAsia" w:ascii="方正仿宋_GB2312" w:hAnsi="方正仿宋_GB2312" w:eastAsia="方正仿宋_GB2312" w:cs="方正仿宋_GB2312"/>
        </w:rPr>
      </w:pPr>
      <w:r>
        <w:rPr>
          <w:rFonts w:hint="eastAsia" w:ascii="黑体" w:eastAsia="黑体" w:cs="黑体"/>
          <w:bCs/>
        </w:rPr>
        <w:t>第三十一条</w:t>
      </w:r>
      <w:r>
        <w:rPr>
          <w:rFonts w:hint="eastAsia" w:ascii="方正仿宋_GB2312" w:hAnsi="方正仿宋_GB2312" w:eastAsia="方正仿宋_GB2312" w:cs="方正仿宋_GB2312"/>
        </w:rPr>
        <w:t xml:space="preserve"> 危险品教员应按照所属危险品培训机构的管理制度开展培训，且仅在一家培训机构备案，仅代表一家培训机构开展培训活动。</w:t>
      </w:r>
      <w:bookmarkStart w:id="335" w:name="_Toc2997"/>
      <w:bookmarkStart w:id="336" w:name="_Toc19208"/>
      <w:bookmarkStart w:id="337" w:name="_Toc20064"/>
      <w:bookmarkStart w:id="338" w:name="_Toc9104"/>
      <w:bookmarkStart w:id="339" w:name="_Toc20155"/>
      <w:bookmarkStart w:id="340" w:name="_Toc10419"/>
      <w:bookmarkStart w:id="341" w:name="_Toc25036"/>
      <w:bookmarkStart w:id="342" w:name="_Toc174"/>
    </w:p>
    <w:p w14:paraId="2FE2CA74">
      <w:pPr>
        <w:ind w:firstLineChars="0"/>
        <w:outlineLvl w:val="2"/>
        <w:rPr>
          <w:rFonts w:hint="eastAsia" w:ascii="方正仿宋_GB2312" w:hAnsi="方正仿宋_GB2312" w:eastAsia="方正仿宋_GB2312" w:cs="方正仿宋_GB2312"/>
        </w:rPr>
      </w:pPr>
      <w:r>
        <w:rPr>
          <w:rFonts w:hint="eastAsia" w:ascii="黑体" w:eastAsia="黑体" w:cs="黑体"/>
          <w:bCs/>
        </w:rPr>
        <w:t>第三十二条</w:t>
      </w:r>
      <w:bookmarkEnd w:id="335"/>
      <w:bookmarkEnd w:id="336"/>
      <w:bookmarkEnd w:id="337"/>
      <w:bookmarkEnd w:id="338"/>
      <w:bookmarkEnd w:id="339"/>
      <w:bookmarkEnd w:id="340"/>
      <w:bookmarkEnd w:id="341"/>
      <w:bookmarkEnd w:id="342"/>
      <w:r>
        <w:rPr>
          <w:rFonts w:hint="eastAsia" w:ascii="黑体" w:eastAsia="黑体" w:cs="黑体"/>
          <w:bCs/>
        </w:rPr>
        <w:t xml:space="preserve"> </w:t>
      </w:r>
      <w:r>
        <w:rPr>
          <w:rFonts w:hint="eastAsia" w:ascii="方正仿宋_GB2312" w:hAnsi="方正仿宋_GB2312" w:eastAsia="方正仿宋_GB2312" w:cs="方正仿宋_GB2312"/>
        </w:rPr>
        <w:t>危险品教员应持续符合以下要求：</w:t>
      </w:r>
    </w:p>
    <w:p w14:paraId="088B51D2">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（一）每12个月至少完整地实施一期与其授课范围相符的危险品培训。</w:t>
      </w:r>
    </w:p>
    <w:p w14:paraId="6057AC58">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（二）每24个月接受一次教员持续培训；且至少参加一次相应的危险品培训并考核合格。</w:t>
      </w:r>
    </w:p>
    <w:p w14:paraId="46487528">
      <w:pPr>
        <w:outlineLvl w:val="1"/>
        <w:rPr>
          <w:rFonts w:hint="eastAsia" w:ascii="方正仿宋_GB2312" w:hAnsi="方正仿宋_GB2312" w:eastAsia="方正仿宋_GB2312" w:cs="方正仿宋_GB2312"/>
        </w:rPr>
      </w:pPr>
      <w:bookmarkStart w:id="343" w:name="_Toc11780"/>
      <w:r>
        <w:rPr>
          <w:rFonts w:hint="eastAsia" w:ascii="方正仿宋_GB2312" w:hAnsi="方正仿宋_GB2312" w:eastAsia="方正仿宋_GB2312" w:cs="方正仿宋_GB2312"/>
        </w:rPr>
        <w:t>（三）每12个月参与一次危险品教研活动。</w:t>
      </w:r>
      <w:bookmarkEnd w:id="343"/>
    </w:p>
    <w:p w14:paraId="7B84481B">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（四）每24个月接受一次实操培训，或与教员授课范围相符的5天以上的实习。</w:t>
      </w:r>
    </w:p>
    <w:p w14:paraId="03431AF0">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授课范围包括多个职责的教员，应选择与上次实习不同的岗位，且尽量覆盖授课范围内的职责以获得相应岗位的必要经验。在授课范围内从业的教员不受本条限制。</w:t>
      </w:r>
    </w:p>
    <w:p w14:paraId="02AA0802">
      <w:pPr>
        <w:ind w:firstLine="420"/>
        <w:outlineLvl w:val="1"/>
        <w:rPr>
          <w:rFonts w:hint="eastAsia" w:ascii="方正仿宋_GB2312" w:hAnsi="方正仿宋_GB2312" w:eastAsia="方正仿宋_GB2312" w:cs="方正仿宋_GB2312"/>
        </w:rPr>
      </w:pPr>
      <w:bookmarkStart w:id="344" w:name="_Toc20109"/>
      <w:r>
        <w:rPr>
          <w:rFonts w:hint="eastAsia" w:ascii="方正仿宋_GB2312" w:hAnsi="方正仿宋_GB2312" w:eastAsia="方正仿宋_GB2312" w:cs="方正仿宋_GB2312"/>
          <w:color w:val="FF0000"/>
          <w:sz w:val="21"/>
          <w:szCs w:val="21"/>
        </w:rPr>
        <w:t xml:space="preserve"> </w:t>
      </w:r>
      <w:r>
        <w:rPr>
          <w:rFonts w:hint="eastAsia" w:ascii="方正仿宋_GB2312" w:hAnsi="方正仿宋_GB2312" w:eastAsia="方正仿宋_GB2312" w:cs="方正仿宋_GB2312"/>
        </w:rPr>
        <w:t>（五）通过民航行政机关或培训机构组织的教学质量检查。</w:t>
      </w:r>
      <w:bookmarkEnd w:id="344"/>
    </w:p>
    <w:p w14:paraId="52C538F1">
      <w:pPr>
        <w:ind w:firstLineChars="0"/>
        <w:rPr>
          <w:rFonts w:hint="eastAsia" w:ascii="方正仿宋_GB2312" w:hAnsi="方正仿宋_GB2312" w:eastAsia="方正仿宋_GB2312" w:cs="方正仿宋_GB2312"/>
          <w:bCs/>
        </w:rPr>
      </w:pPr>
      <w:r>
        <w:rPr>
          <w:rFonts w:hint="eastAsia" w:ascii="黑体" w:eastAsia="黑体" w:cs="黑体"/>
          <w:bCs/>
        </w:rPr>
        <w:t xml:space="preserve">第三十三条 </w:t>
      </w:r>
      <w:r>
        <w:rPr>
          <w:rFonts w:hint="eastAsia" w:ascii="方正仿宋_GB2312" w:hAnsi="方正仿宋_GB2312" w:eastAsia="方正仿宋_GB2312" w:cs="方正仿宋_GB2312"/>
        </w:rPr>
        <w:t>A类教员增加授课范围的，由其所在地民航地区管理局按照本办法的要求重新评估教员能力。</w:t>
      </w:r>
    </w:p>
    <w:p w14:paraId="42BAB10B">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B类教员增加授课范围的，其所属危险品培训机构应按照本办法的要求对其能力进行评估，通过评估完成备案方可开展相应的培训。</w:t>
      </w:r>
    </w:p>
    <w:p w14:paraId="1BD8A7D9">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B类教员变更为A类教员的，依照申请A类教员办理。</w:t>
      </w:r>
    </w:p>
    <w:p w14:paraId="4FA0C756">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变更教员所属危险品培训机构的，由新聘用的危险品培训机构按照本办法完成备案；未完成备案前，不得以新聘用的危险品培训机构开展危险品培训。</w:t>
      </w:r>
      <w:bookmarkStart w:id="345" w:name="_Toc4812"/>
      <w:bookmarkStart w:id="346" w:name="_Toc19175"/>
      <w:bookmarkStart w:id="347" w:name="_Toc13771"/>
      <w:bookmarkStart w:id="348" w:name="_Toc377"/>
      <w:bookmarkStart w:id="349" w:name="_Toc19070"/>
      <w:bookmarkStart w:id="350" w:name="_Toc21827"/>
      <w:bookmarkStart w:id="351" w:name="_Toc31683"/>
      <w:bookmarkStart w:id="352" w:name="_Toc8759"/>
    </w:p>
    <w:p w14:paraId="537121CA">
      <w:pPr>
        <w:outlineLvl w:val="2"/>
        <w:rPr>
          <w:rFonts w:hint="eastAsia" w:ascii="方正仿宋_GB2312" w:hAnsi="方正仿宋_GB2312" w:eastAsia="方正仿宋_GB2312" w:cs="方正仿宋_GB2312"/>
        </w:rPr>
      </w:pPr>
      <w:r>
        <w:rPr>
          <w:rFonts w:hint="eastAsia" w:ascii="黑体" w:eastAsia="黑体" w:cs="黑体"/>
          <w:bCs/>
        </w:rPr>
        <w:t>第三十四条</w:t>
      </w:r>
      <w:bookmarkEnd w:id="345"/>
      <w:bookmarkEnd w:id="346"/>
      <w:bookmarkEnd w:id="347"/>
      <w:bookmarkEnd w:id="348"/>
      <w:bookmarkEnd w:id="349"/>
      <w:bookmarkEnd w:id="350"/>
      <w:bookmarkEnd w:id="351"/>
      <w:bookmarkEnd w:id="352"/>
      <w:r>
        <w:rPr>
          <w:rFonts w:hint="eastAsia" w:ascii="方正仿宋_GB2312" w:hAnsi="方正仿宋_GB2312" w:eastAsia="方正仿宋_GB2312" w:cs="方正仿宋_GB2312"/>
        </w:rPr>
        <w:t xml:space="preserve"> 出现下列情况，危险品教员备案失效：</w:t>
      </w:r>
    </w:p>
    <w:p w14:paraId="6E7FF679">
      <w:pPr>
        <w:pStyle w:val="15"/>
        <w:numPr>
          <w:ilvl w:val="255"/>
          <w:numId w:val="0"/>
        </w:numPr>
        <w:ind w:left="6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（一）违反本办法第二十六条、第三十一条、第三十二条的</w:t>
      </w:r>
    </w:p>
    <w:p w14:paraId="49326CBF">
      <w:pPr>
        <w:pStyle w:val="15"/>
        <w:numPr>
          <w:ilvl w:val="255"/>
          <w:numId w:val="0"/>
        </w:num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w:t>
      </w:r>
    </w:p>
    <w:p w14:paraId="601AC393">
      <w:pPr>
        <w:pStyle w:val="15"/>
        <w:numPr>
          <w:ilvl w:val="255"/>
          <w:numId w:val="0"/>
        </w:numPr>
        <w:ind w:left="6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（二）培训中存在不符合管理规定和本办法的；</w:t>
      </w:r>
    </w:p>
    <w:p w14:paraId="60D1F12D">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（三）经民航行政机关监督检查不具备危险品教员相应能力的。</w:t>
      </w:r>
    </w:p>
    <w:p w14:paraId="03F93A29">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危险品教员不满足前款要求的，其所在的危险品培训机构应当在20日内完成危险品教员备案信息变更，备注失效原因，并更换危险品教员重新组织培训。  </w:t>
      </w:r>
    </w:p>
    <w:p w14:paraId="28B84F98">
      <w:pPr>
        <w:rPr>
          <w:rFonts w:hint="eastAsia"/>
        </w:rPr>
      </w:pPr>
    </w:p>
    <w:p w14:paraId="0A079CC7">
      <w:pPr>
        <w:pStyle w:val="2"/>
        <w:numPr>
          <w:ilvl w:val="0"/>
          <w:numId w:val="1"/>
        </w:numPr>
        <w:spacing w:before="105" w:after="327" w:afterLines="105" w:line="360" w:lineRule="auto"/>
        <w:ind w:firstLine="0" w:firstLineChars="0"/>
        <w:jc w:val="center"/>
        <w:rPr>
          <w:rFonts w:hint="eastAsia" w:ascii="宋体" w:hAnsi="宋体" w:eastAsia="宋体" w:cs="Times New Roman"/>
        </w:rPr>
      </w:pPr>
      <w:bookmarkStart w:id="353" w:name="_Toc10106"/>
      <w:bookmarkStart w:id="354" w:name="_Toc5045"/>
      <w:bookmarkStart w:id="355" w:name="_Toc7218"/>
      <w:bookmarkStart w:id="356" w:name="_Toc28596"/>
      <w:bookmarkStart w:id="357" w:name="_Toc18906"/>
      <w:bookmarkStart w:id="358" w:name="_Toc26453"/>
      <w:bookmarkStart w:id="359" w:name="_Toc3257"/>
      <w:bookmarkStart w:id="360" w:name="_Toc2590"/>
      <w:bookmarkStart w:id="361" w:name="_Toc14787"/>
      <w:r>
        <w:rPr>
          <w:rFonts w:hint="eastAsia" w:ascii="宋体" w:hAnsi="宋体" w:eastAsia="宋体" w:cs="Times New Roman"/>
        </w:rPr>
        <w:t>监督检查</w:t>
      </w:r>
      <w:bookmarkEnd w:id="353"/>
      <w:bookmarkEnd w:id="354"/>
      <w:bookmarkEnd w:id="355"/>
      <w:bookmarkEnd w:id="356"/>
      <w:bookmarkEnd w:id="357"/>
      <w:bookmarkEnd w:id="358"/>
      <w:bookmarkEnd w:id="359"/>
      <w:bookmarkEnd w:id="360"/>
      <w:bookmarkEnd w:id="361"/>
    </w:p>
    <w:p w14:paraId="75C3B51E">
      <w:pPr>
        <w:ind w:firstLineChars="0"/>
        <w:rPr>
          <w:rFonts w:hint="eastAsia" w:ascii="方正仿宋_GB2312" w:hAnsi="方正仿宋_GB2312" w:eastAsia="方正仿宋_GB2312" w:cs="方正仿宋_GB2312"/>
        </w:rPr>
      </w:pPr>
      <w:bookmarkStart w:id="362" w:name="_Toc30856"/>
      <w:bookmarkStart w:id="363" w:name="_Toc28052"/>
      <w:bookmarkStart w:id="364" w:name="_Toc23909"/>
      <w:bookmarkStart w:id="365" w:name="_Toc27504"/>
      <w:bookmarkStart w:id="366" w:name="_Toc7942"/>
      <w:bookmarkStart w:id="367" w:name="_Toc19197"/>
      <w:bookmarkStart w:id="368" w:name="_Toc9344"/>
      <w:bookmarkStart w:id="369" w:name="_Toc29208"/>
      <w:r>
        <w:rPr>
          <w:rFonts w:hint="eastAsia" w:ascii="黑体" w:eastAsia="黑体" w:cs="黑体"/>
          <w:bCs/>
        </w:rPr>
        <w:t xml:space="preserve">第三十五条 </w:t>
      </w:r>
      <w:r>
        <w:rPr>
          <w:rFonts w:hint="eastAsia" w:ascii="方正仿宋_GB2312" w:hAnsi="方正仿宋_GB2312" w:eastAsia="方正仿宋_GB2312" w:cs="方正仿宋_GB2312"/>
        </w:rPr>
        <w:t>民航行政机关发现相关单位的危险品培训大纲和危险品培训实施不符合本办法要求的，应当责令相关单位限期改正。逾期未改正的，通知其危险品培训大纲及实施的危险品培训失效。</w:t>
      </w:r>
      <w:bookmarkEnd w:id="362"/>
      <w:bookmarkEnd w:id="363"/>
      <w:bookmarkEnd w:id="364"/>
      <w:bookmarkEnd w:id="365"/>
      <w:bookmarkEnd w:id="366"/>
      <w:bookmarkEnd w:id="367"/>
      <w:bookmarkEnd w:id="368"/>
      <w:bookmarkEnd w:id="369"/>
      <w:bookmarkStart w:id="370" w:name="_Toc10112"/>
      <w:bookmarkStart w:id="371" w:name="_Toc10413"/>
      <w:bookmarkStart w:id="372" w:name="_Toc947"/>
      <w:bookmarkStart w:id="373" w:name="_Toc11862"/>
      <w:bookmarkStart w:id="374" w:name="_Toc12580"/>
      <w:bookmarkStart w:id="375" w:name="_Toc16268"/>
      <w:bookmarkStart w:id="376" w:name="_Toc25441"/>
      <w:bookmarkStart w:id="377" w:name="_Toc31607"/>
      <w:bookmarkStart w:id="378" w:name="_Toc28141"/>
    </w:p>
    <w:bookmarkEnd w:id="370"/>
    <w:bookmarkEnd w:id="371"/>
    <w:bookmarkEnd w:id="372"/>
    <w:bookmarkEnd w:id="373"/>
    <w:bookmarkEnd w:id="374"/>
    <w:bookmarkEnd w:id="375"/>
    <w:bookmarkEnd w:id="376"/>
    <w:bookmarkEnd w:id="377"/>
    <w:bookmarkEnd w:id="378"/>
    <w:p w14:paraId="2DCCB61F">
      <w:pPr>
        <w:ind w:firstLineChars="0"/>
        <w:rPr>
          <w:rFonts w:hint="eastAsia" w:ascii="方正仿宋_GB2312" w:hAnsi="方正仿宋_GB2312" w:eastAsia="方正仿宋_GB2312" w:cs="方正仿宋_GB2312"/>
        </w:rPr>
      </w:pPr>
      <w:bookmarkStart w:id="379" w:name="_Toc20016"/>
      <w:r>
        <w:rPr>
          <w:rFonts w:hint="eastAsia" w:ascii="黑体" w:eastAsia="黑体" w:cs="黑体"/>
          <w:bCs/>
        </w:rPr>
        <w:t xml:space="preserve">第三十六条 </w:t>
      </w:r>
      <w:r>
        <w:rPr>
          <w:rFonts w:hint="eastAsia" w:ascii="方正仿宋_GB2312" w:hAnsi="方正仿宋_GB2312" w:eastAsia="方正仿宋_GB2312" w:cs="方正仿宋_GB2312"/>
        </w:rPr>
        <w:t>民航行政机关应当加强对危险品培训机构的监督检查，将相关内容列入监管执法计划，重点检查危险品培训机构从事危险品培训所需条件、培训制度的执行、B类教员评估、培训质量等，发现辖区内开展的危险品培训</w:t>
      </w:r>
      <w:bookmarkEnd w:id="379"/>
      <w:r>
        <w:rPr>
          <w:rFonts w:hint="eastAsia" w:ascii="方正仿宋_GB2312" w:hAnsi="方正仿宋_GB2312" w:eastAsia="方正仿宋_GB2312" w:cs="方正仿宋_GB2312"/>
        </w:rPr>
        <w:t>不符合本办法要求的，应当责令其限期改正；逾期未改正的，通知危险品培训机构备案及实施的培训失效，取消对外公布的备案信息，按照管理规定及法律法规对其处罚。</w:t>
      </w:r>
    </w:p>
    <w:p w14:paraId="4B1F5156">
      <w:pPr>
        <w:outlineLvl w:val="1"/>
        <w:rPr>
          <w:rFonts w:hint="eastAsia" w:ascii="方正仿宋_GB2312" w:hAnsi="方正仿宋_GB2312" w:eastAsia="方正仿宋_GB2312" w:cs="方正仿宋_GB2312"/>
        </w:rPr>
      </w:pPr>
      <w:bookmarkStart w:id="380" w:name="_Toc12469"/>
      <w:bookmarkStart w:id="381" w:name="_Toc1430"/>
      <w:bookmarkStart w:id="382" w:name="_Toc21082"/>
      <w:bookmarkStart w:id="383" w:name="_Toc4955"/>
      <w:bookmarkStart w:id="384" w:name="_Toc442"/>
      <w:bookmarkStart w:id="385" w:name="_Toc16756"/>
      <w:bookmarkStart w:id="386" w:name="_Toc20678"/>
      <w:bookmarkStart w:id="387" w:name="_Toc30131"/>
      <w:bookmarkStart w:id="388" w:name="_Toc18380"/>
      <w:r>
        <w:rPr>
          <w:rFonts w:hint="eastAsia" w:ascii="黑体" w:eastAsia="黑体" w:cs="黑体"/>
          <w:bCs/>
        </w:rPr>
        <w:t>第三十七条</w:t>
      </w:r>
      <w:bookmarkEnd w:id="380"/>
      <w:bookmarkEnd w:id="381"/>
      <w:bookmarkEnd w:id="382"/>
      <w:bookmarkEnd w:id="383"/>
      <w:bookmarkEnd w:id="384"/>
      <w:bookmarkEnd w:id="385"/>
      <w:bookmarkEnd w:id="386"/>
      <w:bookmarkEnd w:id="387"/>
      <w:bookmarkEnd w:id="388"/>
      <w:r>
        <w:rPr>
          <w:rFonts w:hint="eastAsia" w:ascii="黑体" w:eastAsia="黑体" w:cs="黑体"/>
          <w:bCs/>
        </w:rPr>
        <w:t xml:space="preserve"> </w:t>
      </w:r>
      <w:r>
        <w:rPr>
          <w:rFonts w:hint="eastAsia" w:ascii="方正仿宋_GB2312" w:hAnsi="方正仿宋_GB2312" w:eastAsia="方正仿宋_GB2312" w:cs="方正仿宋_GB2312"/>
        </w:rPr>
        <w:t>民航行政机关每年度组织实施教学质量评价，确保危险品培训机构及教员的培训质量。</w:t>
      </w:r>
    </w:p>
    <w:p w14:paraId="1C872886">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民航行政机关发现危险品教员不符合本办法要求的，应责令其所属危险品培训机构进行改正；不能满足相应要求的，或违规情节严重的，应取消危险品教员的备案。</w:t>
      </w:r>
      <w:bookmarkStart w:id="389" w:name="_Toc17439"/>
      <w:bookmarkStart w:id="390" w:name="_Toc24011"/>
      <w:bookmarkStart w:id="391" w:name="_Toc14115"/>
      <w:bookmarkStart w:id="392" w:name="_Toc408"/>
    </w:p>
    <w:p w14:paraId="55E071FB">
      <w:pPr>
        <w:rPr>
          <w:rFonts w:hint="eastAsia" w:ascii="方正仿宋_GB2312" w:hAnsi="方正仿宋_GB2312" w:eastAsia="方正仿宋_GB2312" w:cs="方正仿宋_GB2312"/>
        </w:rPr>
      </w:pPr>
      <w:r>
        <w:rPr>
          <w:rFonts w:hint="eastAsia" w:ascii="黑体" w:eastAsia="黑体" w:cs="黑体"/>
          <w:bCs/>
        </w:rPr>
        <w:t xml:space="preserve">第三十八条 </w:t>
      </w:r>
      <w:r>
        <w:rPr>
          <w:rFonts w:hint="eastAsia" w:ascii="方正仿宋_GB2312" w:hAnsi="方正仿宋_GB2312" w:eastAsia="方正仿宋_GB2312" w:cs="方正仿宋_GB2312"/>
        </w:rPr>
        <w:t>地区管理局应当于每年12月31日前向民航局提交本地区危险品培训监督检查情况报告。</w:t>
      </w:r>
    </w:p>
    <w:p w14:paraId="2A6A70EA">
      <w:pPr>
        <w:rPr>
          <w:rFonts w:hint="eastAsia" w:ascii="方正仿宋_GB2312" w:hAnsi="方正仿宋_GB2312" w:eastAsia="方正仿宋_GB2312" w:cs="方正仿宋_GB2312"/>
        </w:rPr>
      </w:pPr>
    </w:p>
    <w:p w14:paraId="4A664AF0">
      <w:pPr>
        <w:pStyle w:val="2"/>
        <w:numPr>
          <w:ilvl w:val="0"/>
          <w:numId w:val="1"/>
        </w:numPr>
        <w:spacing w:before="105" w:after="327" w:afterLines="105" w:line="360" w:lineRule="auto"/>
        <w:ind w:firstLine="0" w:firstLineChars="0"/>
        <w:jc w:val="center"/>
        <w:rPr>
          <w:rFonts w:hint="eastAsia" w:ascii="宋体" w:hAnsi="宋体" w:eastAsia="宋体" w:cs="Times New Roman"/>
        </w:rPr>
      </w:pPr>
      <w:bookmarkStart w:id="393" w:name="_Toc25176"/>
      <w:bookmarkStart w:id="394" w:name="_Toc8247"/>
      <w:bookmarkStart w:id="395" w:name="_Toc4512"/>
      <w:bookmarkStart w:id="396" w:name="_Toc21549"/>
      <w:bookmarkStart w:id="397" w:name="_Toc29927"/>
      <w:bookmarkStart w:id="398" w:name="_Toc943"/>
      <w:r>
        <w:rPr>
          <w:rFonts w:hint="eastAsia" w:ascii="宋体" w:hAnsi="宋体" w:eastAsia="宋体" w:cs="Times New Roman"/>
        </w:rPr>
        <w:t xml:space="preserve">  附  则</w:t>
      </w:r>
      <w:bookmarkEnd w:id="389"/>
      <w:bookmarkEnd w:id="390"/>
      <w:bookmarkEnd w:id="391"/>
      <w:bookmarkEnd w:id="392"/>
      <w:bookmarkEnd w:id="393"/>
      <w:bookmarkEnd w:id="394"/>
      <w:bookmarkEnd w:id="395"/>
      <w:bookmarkEnd w:id="396"/>
      <w:bookmarkEnd w:id="397"/>
      <w:bookmarkEnd w:id="398"/>
    </w:p>
    <w:p w14:paraId="71D1FFB3">
      <w:pPr>
        <w:rPr>
          <w:rFonts w:hint="eastAsia" w:ascii="方正仿宋_GB2312" w:hAnsi="方正仿宋_GB2312" w:eastAsia="方正仿宋_GB2312" w:cs="方正仿宋_GB2312"/>
        </w:rPr>
      </w:pPr>
      <w:bookmarkStart w:id="399" w:name="_Toc10833"/>
      <w:bookmarkStart w:id="400" w:name="_Toc32460"/>
      <w:bookmarkStart w:id="401" w:name="_Toc21455"/>
      <w:bookmarkStart w:id="402" w:name="_Toc7125"/>
      <w:bookmarkStart w:id="403" w:name="_Toc32061"/>
      <w:bookmarkStart w:id="404" w:name="_Toc23230"/>
      <w:bookmarkStart w:id="405" w:name="_Toc11647"/>
      <w:bookmarkStart w:id="406" w:name="_Toc23866"/>
      <w:r>
        <w:rPr>
          <w:rFonts w:hint="eastAsia" w:ascii="黑体" w:eastAsia="黑体" w:cs="黑体"/>
          <w:bCs/>
        </w:rPr>
        <w:t>第三十九条</w:t>
      </w:r>
      <w:bookmarkEnd w:id="399"/>
      <w:bookmarkEnd w:id="400"/>
      <w:bookmarkEnd w:id="401"/>
      <w:bookmarkEnd w:id="402"/>
      <w:bookmarkEnd w:id="403"/>
      <w:bookmarkEnd w:id="404"/>
      <w:bookmarkEnd w:id="405"/>
      <w:bookmarkEnd w:id="406"/>
      <w:r>
        <w:rPr>
          <w:rFonts w:hint="eastAsia" w:ascii="黑体" w:eastAsia="黑体" w:cs="黑体"/>
          <w:bCs/>
        </w:rPr>
        <w:t xml:space="preserve"> </w:t>
      </w:r>
      <w:r>
        <w:rPr>
          <w:rFonts w:hint="eastAsia" w:ascii="方正仿宋_GB2312" w:hAnsi="方正仿宋_GB2312" w:eastAsia="方正仿宋_GB2312" w:cs="方正仿宋_GB2312"/>
        </w:rPr>
        <w:t xml:space="preserve">本办法中相关表格、文件（含附录），可通过危险品航空运输管理网站下载。 </w:t>
      </w:r>
    </w:p>
    <w:p w14:paraId="2C1CC7DC">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备案及信息报送通过危险品航空运输信息管理系统完成。</w:t>
      </w:r>
    </w:p>
    <w:p w14:paraId="2F4C8DA6">
      <w:pPr>
        <w:rPr>
          <w:rFonts w:hint="eastAsia" w:ascii="方正仿宋_GB2312" w:hAnsi="方正仿宋_GB2312" w:eastAsia="方正仿宋_GB2312" w:cs="方正仿宋_GB2312"/>
        </w:rPr>
      </w:pPr>
      <w:bookmarkStart w:id="407" w:name="_Toc7501"/>
      <w:bookmarkStart w:id="408" w:name="_Toc14160"/>
      <w:bookmarkStart w:id="409" w:name="_Toc21540"/>
      <w:bookmarkStart w:id="410" w:name="_Toc26153"/>
      <w:bookmarkStart w:id="411" w:name="_Toc16501"/>
      <w:bookmarkStart w:id="412" w:name="_Toc15125"/>
      <w:bookmarkStart w:id="413" w:name="_Toc14970"/>
      <w:bookmarkStart w:id="414" w:name="_Toc21975"/>
      <w:r>
        <w:rPr>
          <w:rFonts w:hint="eastAsia" w:ascii="黑体" w:eastAsia="黑体" w:cs="黑体"/>
          <w:bCs/>
        </w:rPr>
        <w:t>第四十条</w:t>
      </w:r>
      <w:bookmarkEnd w:id="407"/>
      <w:bookmarkEnd w:id="408"/>
      <w:bookmarkEnd w:id="409"/>
      <w:bookmarkEnd w:id="410"/>
      <w:bookmarkEnd w:id="411"/>
      <w:bookmarkEnd w:id="412"/>
      <w:bookmarkEnd w:id="413"/>
      <w:bookmarkEnd w:id="414"/>
      <w:r>
        <w:rPr>
          <w:rFonts w:hint="eastAsia" w:ascii="黑体" w:eastAsia="黑体" w:cs="黑体"/>
          <w:bCs/>
        </w:rPr>
        <w:t xml:space="preserve"> </w:t>
      </w:r>
      <w:r>
        <w:rPr>
          <w:rFonts w:hint="eastAsia" w:ascii="方正仿宋_GB2312" w:hAnsi="方正仿宋_GB2312" w:eastAsia="方正仿宋_GB2312" w:cs="方正仿宋_GB2312"/>
          <w:bCs/>
        </w:rPr>
        <w:t>本办法自2024年X月X日起施行，2016年7</w:t>
      </w:r>
      <w:r>
        <w:rPr>
          <w:rFonts w:hint="eastAsia" w:ascii="方正仿宋_GB2312" w:hAnsi="方正仿宋_GB2312" w:eastAsia="方正仿宋_GB2312" w:cs="方正仿宋_GB2312"/>
        </w:rPr>
        <w:t>月25日发布的《危险品航空运输培训管理办法》（AC-276-TR-2016-02）同时废止。</w:t>
      </w:r>
    </w:p>
    <w:p w14:paraId="4C504FF0">
      <w:pPr>
        <w:rPr>
          <w:rFonts w:hint="eastAsia" w:ascii="方正仿宋_GB2312" w:hAnsi="方正仿宋_GB2312" w:eastAsia="方正仿宋_GB2312" w:cs="方正仿宋_GB2312"/>
        </w:rPr>
      </w:pPr>
      <w:bookmarkStart w:id="415" w:name="_Toc20992"/>
      <w:bookmarkStart w:id="416" w:name="_Toc3980"/>
      <w:bookmarkStart w:id="417" w:name="_Toc20432"/>
      <w:bookmarkStart w:id="418" w:name="_Toc22734"/>
      <w:bookmarkStart w:id="419" w:name="_Toc21682"/>
      <w:bookmarkStart w:id="420" w:name="_Toc23655"/>
      <w:bookmarkStart w:id="421" w:name="_Toc24154"/>
      <w:bookmarkStart w:id="422" w:name="_Toc18409"/>
      <w:bookmarkStart w:id="423" w:name="_Toc3594"/>
      <w:r>
        <w:rPr>
          <w:rFonts w:hint="eastAsia" w:ascii="方正仿宋_GB2312" w:hAnsi="方正仿宋_GB2312" w:eastAsia="方正仿宋_GB2312" w:cs="方正仿宋_GB2312"/>
        </w:rPr>
        <w:t>附录：</w:t>
      </w:r>
      <w:bookmarkEnd w:id="415"/>
      <w:bookmarkEnd w:id="416"/>
      <w:bookmarkEnd w:id="417"/>
      <w:bookmarkEnd w:id="418"/>
      <w:bookmarkEnd w:id="419"/>
      <w:bookmarkEnd w:id="420"/>
      <w:bookmarkEnd w:id="421"/>
      <w:bookmarkEnd w:id="422"/>
      <w:bookmarkEnd w:id="423"/>
      <w:bookmarkStart w:id="424" w:name="_Toc8202"/>
    </w:p>
    <w:p w14:paraId="443D661E">
      <w:pPr>
        <w:ind w:firstLine="1200" w:firstLineChars="400"/>
        <w:rPr>
          <w:rFonts w:hint="eastAsia" w:ascii="方正仿宋_GB2312" w:hAnsi="方正仿宋_GB2312" w:eastAsia="方正仿宋_GB2312" w:cs="方正仿宋_GB2312"/>
        </w:rPr>
      </w:pPr>
      <w:bookmarkStart w:id="425" w:name="_Toc16513"/>
      <w:bookmarkStart w:id="426" w:name="_Toc2226"/>
      <w:bookmarkStart w:id="427" w:name="_Toc23558"/>
      <w:bookmarkStart w:id="428" w:name="_Toc32669"/>
      <w:bookmarkStart w:id="429" w:name="_Toc5538"/>
      <w:bookmarkStart w:id="430" w:name="_Toc28534"/>
      <w:bookmarkStart w:id="431" w:name="_Toc26835"/>
      <w:bookmarkStart w:id="432" w:name="_Toc2189"/>
      <w:r>
        <w:rPr>
          <w:rFonts w:hint="eastAsia" w:ascii="方正仿宋_GB2312" w:hAnsi="方正仿宋_GB2312" w:eastAsia="方正仿宋_GB2312" w:cs="方正仿宋_GB2312"/>
        </w:rPr>
        <w:t>1. 境内承运人危险品培训大纲审查申请表</w:t>
      </w:r>
      <w:bookmarkEnd w:id="424"/>
      <w:bookmarkEnd w:id="425"/>
      <w:bookmarkEnd w:id="426"/>
      <w:bookmarkEnd w:id="427"/>
      <w:bookmarkEnd w:id="428"/>
      <w:bookmarkEnd w:id="429"/>
      <w:bookmarkEnd w:id="430"/>
      <w:bookmarkEnd w:id="431"/>
      <w:bookmarkEnd w:id="432"/>
    </w:p>
    <w:p w14:paraId="49029FE3">
      <w:pPr>
        <w:ind w:firstLine="1200" w:firstLineChars="400"/>
        <w:rPr>
          <w:rFonts w:hint="eastAsia" w:ascii="方正仿宋_GB2312" w:hAnsi="方正仿宋_GB2312" w:eastAsia="方正仿宋_GB2312" w:cs="方正仿宋_GB2312"/>
        </w:rPr>
      </w:pPr>
      <w:bookmarkStart w:id="433" w:name="_Toc1762"/>
      <w:bookmarkStart w:id="434" w:name="_Toc9998"/>
      <w:bookmarkStart w:id="435" w:name="_Toc11322"/>
      <w:bookmarkStart w:id="436" w:name="_Toc2640"/>
      <w:bookmarkStart w:id="437" w:name="_Toc5366"/>
      <w:bookmarkStart w:id="438" w:name="_Toc20827"/>
      <w:bookmarkStart w:id="439" w:name="_Toc19858"/>
      <w:bookmarkStart w:id="440" w:name="_Toc4473"/>
      <w:bookmarkStart w:id="441" w:name="_Toc2746"/>
      <w:r>
        <w:rPr>
          <w:rFonts w:hint="eastAsia" w:ascii="方正仿宋_GB2312" w:hAnsi="方正仿宋_GB2312" w:eastAsia="方正仿宋_GB2312" w:cs="方正仿宋_GB2312"/>
        </w:rPr>
        <w:t>2.</w:t>
      </w:r>
      <w:bookmarkEnd w:id="433"/>
      <w:bookmarkEnd w:id="434"/>
      <w:bookmarkEnd w:id="435"/>
      <w:bookmarkEnd w:id="436"/>
      <w:bookmarkEnd w:id="437"/>
      <w:bookmarkEnd w:id="438"/>
      <w:bookmarkEnd w:id="439"/>
      <w:bookmarkEnd w:id="440"/>
      <w:bookmarkEnd w:id="441"/>
      <w:bookmarkStart w:id="442" w:name="_Toc32145"/>
      <w:bookmarkStart w:id="443" w:name="_Toc2259"/>
      <w:bookmarkStart w:id="444" w:name="_Toc14849"/>
      <w:bookmarkStart w:id="445" w:name="_Toc381"/>
      <w:bookmarkStart w:id="446" w:name="_Toc11362"/>
      <w:bookmarkStart w:id="447" w:name="_Toc7713"/>
      <w:bookmarkStart w:id="448" w:name="_Toc5272"/>
      <w:bookmarkStart w:id="449" w:name="_Toc5758"/>
      <w:bookmarkStart w:id="450" w:name="_Toc29378"/>
      <w:r>
        <w:rPr>
          <w:rFonts w:hint="eastAsia" w:ascii="方正仿宋_GB2312" w:hAnsi="方正仿宋_GB2312" w:eastAsia="方正仿宋_GB2312" w:cs="方正仿宋_GB2312"/>
        </w:rPr>
        <w:t xml:space="preserve"> 关于确认危险品培训大纲审查结果的函</w:t>
      </w:r>
    </w:p>
    <w:p w14:paraId="442A44F1">
      <w:pPr>
        <w:ind w:firstLine="1200" w:firstLineChars="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w:t>
      </w:r>
      <w:bookmarkEnd w:id="442"/>
      <w:bookmarkStart w:id="451" w:name="_Toc1219"/>
      <w:r>
        <w:rPr>
          <w:rFonts w:hint="eastAsia" w:ascii="方正仿宋_GB2312" w:hAnsi="方正仿宋_GB2312" w:eastAsia="方正仿宋_GB2312" w:cs="方正仿宋_GB2312"/>
        </w:rPr>
        <w:t xml:space="preserve"> 危险品培训大纲备案表</w:t>
      </w:r>
    </w:p>
    <w:p w14:paraId="78EC5BE4">
      <w:pPr>
        <w:ind w:firstLine="1200" w:firstLineChars="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 危险品培训机构备案信息表</w:t>
      </w:r>
    </w:p>
    <w:bookmarkEnd w:id="443"/>
    <w:bookmarkEnd w:id="444"/>
    <w:bookmarkEnd w:id="445"/>
    <w:bookmarkEnd w:id="446"/>
    <w:bookmarkEnd w:id="447"/>
    <w:bookmarkEnd w:id="448"/>
    <w:bookmarkEnd w:id="449"/>
    <w:bookmarkEnd w:id="450"/>
    <w:p w14:paraId="009D9E11">
      <w:pPr>
        <w:ind w:firstLine="1200" w:firstLineChars="400"/>
        <w:rPr>
          <w:rFonts w:hint="eastAsia" w:ascii="方正仿宋_GB2312" w:hAnsi="方正仿宋_GB2312" w:eastAsia="方正仿宋_GB2312" w:cs="方正仿宋_GB2312"/>
        </w:rPr>
      </w:pPr>
      <w:bookmarkStart w:id="452" w:name="_Toc25464"/>
      <w:bookmarkStart w:id="453" w:name="_Toc26781"/>
      <w:bookmarkStart w:id="454" w:name="_Toc5066"/>
      <w:bookmarkStart w:id="455" w:name="_Toc16286"/>
      <w:bookmarkStart w:id="456" w:name="_Toc32203"/>
      <w:bookmarkStart w:id="457" w:name="_Toc30391"/>
      <w:bookmarkStart w:id="458" w:name="_Toc8054"/>
      <w:bookmarkStart w:id="459" w:name="_Toc22260"/>
      <w:r>
        <w:rPr>
          <w:rFonts w:hint="eastAsia" w:ascii="方正仿宋_GB2312" w:hAnsi="方正仿宋_GB2312" w:eastAsia="方正仿宋_GB2312" w:cs="方正仿宋_GB2312"/>
        </w:rPr>
        <w:t>5.</w:t>
      </w:r>
      <w:bookmarkEnd w:id="451"/>
      <w:bookmarkStart w:id="460" w:name="_Toc9921"/>
      <w:r>
        <w:rPr>
          <w:rFonts w:hint="eastAsia" w:ascii="方正仿宋_GB2312" w:hAnsi="方正仿宋_GB2312" w:eastAsia="方正仿宋_GB2312" w:cs="方正仿宋_GB2312"/>
        </w:rPr>
        <w:t xml:space="preserve"> 教员能力评估申请表</w:t>
      </w:r>
      <w:bookmarkEnd w:id="452"/>
      <w:bookmarkEnd w:id="453"/>
      <w:bookmarkEnd w:id="454"/>
      <w:bookmarkEnd w:id="455"/>
      <w:bookmarkEnd w:id="456"/>
      <w:bookmarkEnd w:id="457"/>
      <w:bookmarkEnd w:id="458"/>
      <w:bookmarkEnd w:id="459"/>
      <w:bookmarkEnd w:id="460"/>
    </w:p>
    <w:p w14:paraId="439288B1">
      <w:pPr>
        <w:ind w:firstLine="0" w:firstLineChars="0"/>
        <w:rPr>
          <w:rFonts w:hint="eastAsia" w:eastAsia="黑体"/>
          <w:sz w:val="32"/>
          <w:szCs w:val="32"/>
        </w:rPr>
      </w:pPr>
      <w:r>
        <w:rPr>
          <w:rFonts w:hint="eastAsia" w:ascii="黑体" w:eastAsia="黑体" w:cs="黑体"/>
          <w:sz w:val="32"/>
          <w:szCs w:val="32"/>
        </w:rPr>
        <w:t>附录1.</w:t>
      </w:r>
    </w:p>
    <w:p w14:paraId="7B64162F">
      <w:pPr>
        <w:spacing w:before="117" w:line="189" w:lineRule="auto"/>
        <w:ind w:firstLine="1152" w:firstLineChars="370"/>
        <w:outlineLvl w:val="0"/>
        <w:rPr>
          <w:rFonts w:hint="eastAsia" w:ascii="宋体" w:hAnsi="宋体" w:eastAsia="宋体" w:cs="黑体"/>
          <w:b/>
          <w:spacing w:val="-5"/>
          <w:sz w:val="36"/>
          <w:szCs w:val="36"/>
        </w:rPr>
      </w:pPr>
      <w:bookmarkStart w:id="461" w:name="_Toc23454"/>
      <w:r>
        <w:rPr>
          <w:rFonts w:hint="eastAsia" w:ascii="宋体" w:hAnsi="宋体" w:eastAsia="宋体" w:cs="黑体"/>
          <w:b/>
          <w:spacing w:val="-5"/>
          <w:sz w:val="32"/>
          <w:szCs w:val="32"/>
        </w:rPr>
        <w:t>境内承运人危险品培训大纲审查申请表</w:t>
      </w:r>
      <w:bookmarkEnd w:id="461"/>
    </w:p>
    <w:tbl>
      <w:tblPr>
        <w:tblStyle w:val="16"/>
        <w:tblpPr w:leftFromText="180" w:rightFromText="180" w:vertAnchor="text" w:horzAnchor="page" w:tblpX="1369" w:tblpY="80"/>
        <w:tblOverlap w:val="never"/>
        <w:tblW w:w="91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09"/>
        <w:gridCol w:w="1531"/>
        <w:gridCol w:w="1520"/>
        <w:gridCol w:w="2212"/>
      </w:tblGrid>
      <w:tr w14:paraId="7883E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3909" w:type="dxa"/>
          </w:tcPr>
          <w:p w14:paraId="49585331">
            <w:pPr>
              <w:ind w:firstLine="0" w:firstLineChars="0"/>
              <w:rPr>
                <w:rFonts w:hint="eastAsia" w:ascii="方正仿宋_GB2312" w:hAnsi="方正仿宋_GB2312" w:eastAsia="方正仿宋_GB2312" w:cs="方正仿宋_GB2312"/>
                <w:bCs/>
              </w:rPr>
            </w:pPr>
            <w:r>
              <w:rPr>
                <w:rFonts w:hint="eastAsia" w:ascii="方正仿宋_GB2312" w:hAnsi="方正仿宋_GB2312" w:eastAsia="方正仿宋_GB2312" w:cs="方正仿宋_GB2312"/>
                <w:bCs/>
              </w:rPr>
              <w:t>境内承运人名称</w:t>
            </w:r>
          </w:p>
        </w:tc>
        <w:tc>
          <w:tcPr>
            <w:tcW w:w="5263" w:type="dxa"/>
            <w:gridSpan w:val="3"/>
          </w:tcPr>
          <w:p w14:paraId="50CC3AAB">
            <w:pPr>
              <w:rPr>
                <w:rFonts w:hint="eastAsia" w:ascii="方正仿宋_GB2312" w:hAnsi="方正仿宋_GB2312" w:eastAsia="方正仿宋_GB2312" w:cs="方正仿宋_GB2312"/>
                <w:bCs/>
              </w:rPr>
            </w:pPr>
          </w:p>
        </w:tc>
      </w:tr>
      <w:tr w14:paraId="1B63A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3909" w:type="dxa"/>
          </w:tcPr>
          <w:p w14:paraId="684DCD7C">
            <w:pPr>
              <w:ind w:firstLine="0" w:firstLineChars="0"/>
              <w:rPr>
                <w:rFonts w:hint="eastAsia" w:ascii="方正仿宋_GB2312" w:hAnsi="方正仿宋_GB2312" w:eastAsia="方正仿宋_GB2312" w:cs="方正仿宋_GB2312"/>
                <w:bCs/>
              </w:rPr>
            </w:pPr>
            <w:r>
              <w:rPr>
                <w:rFonts w:hint="eastAsia" w:ascii="方正仿宋_GB2312" w:hAnsi="方正仿宋_GB2312" w:eastAsia="方正仿宋_GB2312" w:cs="方正仿宋_GB2312"/>
                <w:bCs/>
              </w:rPr>
              <w:t>法定代表人姓名</w:t>
            </w:r>
          </w:p>
        </w:tc>
        <w:tc>
          <w:tcPr>
            <w:tcW w:w="1531" w:type="dxa"/>
          </w:tcPr>
          <w:p w14:paraId="47784F77">
            <w:pPr>
              <w:rPr>
                <w:rFonts w:hint="eastAsia" w:ascii="方正仿宋_GB2312" w:hAnsi="方正仿宋_GB2312" w:eastAsia="方正仿宋_GB2312" w:cs="方正仿宋_GB2312"/>
                <w:bCs/>
              </w:rPr>
            </w:pPr>
          </w:p>
        </w:tc>
        <w:tc>
          <w:tcPr>
            <w:tcW w:w="1520" w:type="dxa"/>
          </w:tcPr>
          <w:p w14:paraId="6DF61B26">
            <w:pPr>
              <w:ind w:firstLine="0" w:firstLineChars="0"/>
              <w:rPr>
                <w:rFonts w:hint="eastAsia" w:ascii="方正仿宋_GB2312" w:hAnsi="方正仿宋_GB2312" w:eastAsia="方正仿宋_GB2312" w:cs="方正仿宋_GB2312"/>
                <w:bCs/>
              </w:rPr>
            </w:pPr>
            <w:r>
              <w:rPr>
                <w:rFonts w:hint="eastAsia" w:ascii="方正仿宋_GB2312" w:hAnsi="方正仿宋_GB2312" w:eastAsia="方正仿宋_GB2312" w:cs="方正仿宋_GB2312"/>
                <w:bCs/>
              </w:rPr>
              <w:t>地    址</w:t>
            </w:r>
          </w:p>
        </w:tc>
        <w:tc>
          <w:tcPr>
            <w:tcW w:w="2212" w:type="dxa"/>
          </w:tcPr>
          <w:p w14:paraId="60B8086C">
            <w:pPr>
              <w:rPr>
                <w:rFonts w:hint="eastAsia" w:ascii="方正仿宋_GB2312" w:hAnsi="方正仿宋_GB2312" w:eastAsia="方正仿宋_GB2312" w:cs="方正仿宋_GB2312"/>
                <w:bCs/>
              </w:rPr>
            </w:pPr>
          </w:p>
        </w:tc>
      </w:tr>
      <w:tr w14:paraId="60067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909" w:type="dxa"/>
          </w:tcPr>
          <w:p w14:paraId="14C964C0">
            <w:pPr>
              <w:ind w:firstLine="0" w:firstLineChars="0"/>
              <w:rPr>
                <w:rFonts w:hint="eastAsia" w:ascii="方正仿宋_GB2312" w:hAnsi="方正仿宋_GB2312" w:eastAsia="方正仿宋_GB2312" w:cs="方正仿宋_GB2312"/>
                <w:bCs/>
              </w:rPr>
            </w:pPr>
            <w:r>
              <w:rPr>
                <w:rFonts w:hint="eastAsia" w:ascii="方正仿宋_GB2312" w:hAnsi="方正仿宋_GB2312" w:eastAsia="方正仿宋_GB2312" w:cs="方正仿宋_GB2312"/>
                <w:bCs/>
              </w:rPr>
              <w:t>联 系 人</w:t>
            </w:r>
          </w:p>
        </w:tc>
        <w:tc>
          <w:tcPr>
            <w:tcW w:w="1531" w:type="dxa"/>
          </w:tcPr>
          <w:p w14:paraId="49BF8F11">
            <w:pPr>
              <w:jc w:val="center"/>
              <w:rPr>
                <w:rFonts w:hint="eastAsia" w:ascii="方正仿宋_GB2312" w:hAnsi="方正仿宋_GB2312" w:eastAsia="方正仿宋_GB2312" w:cs="方正仿宋_GB2312"/>
                <w:bCs/>
              </w:rPr>
            </w:pPr>
          </w:p>
        </w:tc>
        <w:tc>
          <w:tcPr>
            <w:tcW w:w="1520" w:type="dxa"/>
          </w:tcPr>
          <w:p w14:paraId="66341395">
            <w:pPr>
              <w:ind w:firstLine="0" w:firstLineChars="0"/>
              <w:rPr>
                <w:rFonts w:hint="eastAsia" w:ascii="方正仿宋_GB2312" w:hAnsi="方正仿宋_GB2312" w:eastAsia="方正仿宋_GB2312" w:cs="方正仿宋_GB2312"/>
                <w:bCs/>
              </w:rPr>
            </w:pPr>
            <w:r>
              <w:rPr>
                <w:rFonts w:hint="eastAsia" w:ascii="方正仿宋_GB2312" w:hAnsi="方正仿宋_GB2312" w:eastAsia="方正仿宋_GB2312" w:cs="方正仿宋_GB2312"/>
                <w:bCs/>
              </w:rPr>
              <w:t>电    话</w:t>
            </w:r>
          </w:p>
        </w:tc>
        <w:tc>
          <w:tcPr>
            <w:tcW w:w="2212" w:type="dxa"/>
          </w:tcPr>
          <w:p w14:paraId="2E5C7C9D">
            <w:pPr>
              <w:rPr>
                <w:rFonts w:hint="eastAsia" w:ascii="方正仿宋_GB2312" w:hAnsi="方正仿宋_GB2312" w:eastAsia="方正仿宋_GB2312" w:cs="方正仿宋_GB2312"/>
                <w:bCs/>
              </w:rPr>
            </w:pPr>
          </w:p>
        </w:tc>
      </w:tr>
      <w:tr w14:paraId="60D74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3909" w:type="dxa"/>
          </w:tcPr>
          <w:p w14:paraId="50B82CF7">
            <w:pPr>
              <w:ind w:firstLine="0" w:firstLineChars="0"/>
              <w:rPr>
                <w:rFonts w:hint="eastAsia" w:ascii="方正仿宋_GB2312" w:hAnsi="方正仿宋_GB2312" w:eastAsia="方正仿宋_GB2312" w:cs="方正仿宋_GB2312"/>
                <w:bCs/>
              </w:rPr>
            </w:pPr>
            <w:r>
              <w:rPr>
                <w:rFonts w:hint="eastAsia" w:ascii="方正仿宋_GB2312" w:hAnsi="方正仿宋_GB2312" w:eastAsia="方正仿宋_GB2312" w:cs="方正仿宋_GB2312"/>
                <w:bCs/>
              </w:rPr>
              <w:t>传    真</w:t>
            </w:r>
          </w:p>
        </w:tc>
        <w:tc>
          <w:tcPr>
            <w:tcW w:w="1531" w:type="dxa"/>
          </w:tcPr>
          <w:p w14:paraId="1F13A1C2">
            <w:pPr>
              <w:rPr>
                <w:rFonts w:hint="eastAsia" w:ascii="方正仿宋_GB2312" w:hAnsi="方正仿宋_GB2312" w:eastAsia="方正仿宋_GB2312" w:cs="方正仿宋_GB2312"/>
                <w:bCs/>
              </w:rPr>
            </w:pPr>
          </w:p>
        </w:tc>
        <w:tc>
          <w:tcPr>
            <w:tcW w:w="1520" w:type="dxa"/>
          </w:tcPr>
          <w:p w14:paraId="04275D56">
            <w:pPr>
              <w:ind w:firstLine="0" w:firstLineChars="0"/>
              <w:rPr>
                <w:rFonts w:hint="eastAsia" w:ascii="方正仿宋_GB2312" w:hAnsi="方正仿宋_GB2312" w:eastAsia="方正仿宋_GB2312" w:cs="方正仿宋_GB2312"/>
                <w:bCs/>
              </w:rPr>
            </w:pPr>
            <w:r>
              <w:rPr>
                <w:rFonts w:hint="eastAsia" w:ascii="方正仿宋_GB2312" w:hAnsi="方正仿宋_GB2312" w:eastAsia="方正仿宋_GB2312" w:cs="方正仿宋_GB2312"/>
                <w:bCs/>
              </w:rPr>
              <w:t>邮政编码</w:t>
            </w:r>
          </w:p>
        </w:tc>
        <w:tc>
          <w:tcPr>
            <w:tcW w:w="2212" w:type="dxa"/>
          </w:tcPr>
          <w:p w14:paraId="178A1F1E">
            <w:pPr>
              <w:rPr>
                <w:rFonts w:hint="eastAsia" w:ascii="方正仿宋_GB2312" w:hAnsi="方正仿宋_GB2312" w:eastAsia="方正仿宋_GB2312" w:cs="方正仿宋_GB2312"/>
                <w:bCs/>
              </w:rPr>
            </w:pPr>
          </w:p>
        </w:tc>
      </w:tr>
      <w:tr w14:paraId="0A109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909" w:type="dxa"/>
          </w:tcPr>
          <w:p w14:paraId="465B0151">
            <w:pPr>
              <w:ind w:firstLine="0" w:firstLineChars="0"/>
              <w:rPr>
                <w:rFonts w:hint="eastAsia" w:ascii="方正仿宋_GB2312" w:hAnsi="方正仿宋_GB2312" w:eastAsia="方正仿宋_GB2312" w:cs="方正仿宋_GB2312"/>
                <w:bCs/>
              </w:rPr>
            </w:pPr>
            <w:r>
              <w:rPr>
                <w:rFonts w:hint="eastAsia" w:ascii="方正仿宋_GB2312" w:hAnsi="方正仿宋_GB2312" w:eastAsia="方正仿宋_GB2312" w:cs="方正仿宋_GB2312"/>
                <w:bCs/>
              </w:rPr>
              <w:t>大纲中包含的危险品职责</w:t>
            </w:r>
          </w:p>
        </w:tc>
        <w:tc>
          <w:tcPr>
            <w:tcW w:w="5263" w:type="dxa"/>
            <w:gridSpan w:val="3"/>
          </w:tcPr>
          <w:p w14:paraId="5DB5289F">
            <w:pPr>
              <w:rPr>
                <w:rFonts w:hint="eastAsia" w:ascii="方正仿宋_GB2312" w:hAnsi="方正仿宋_GB2312" w:eastAsia="方正仿宋_GB2312" w:cs="方正仿宋_GB2312"/>
                <w:bCs/>
              </w:rPr>
            </w:pPr>
          </w:p>
        </w:tc>
      </w:tr>
      <w:tr w14:paraId="72AD6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909" w:type="dxa"/>
          </w:tcPr>
          <w:p w14:paraId="09130992">
            <w:pPr>
              <w:ind w:firstLine="0" w:firstLineChars="0"/>
              <w:rPr>
                <w:rFonts w:hint="eastAsia" w:ascii="方正仿宋_GB2312" w:hAnsi="方正仿宋_GB2312" w:eastAsia="方正仿宋_GB2312" w:cs="方正仿宋_GB2312"/>
                <w:bCs/>
              </w:rPr>
            </w:pPr>
            <w:r>
              <w:rPr>
                <w:rFonts w:hint="eastAsia" w:ascii="方正仿宋_GB2312" w:hAnsi="方正仿宋_GB2312" w:eastAsia="方正仿宋_GB2312" w:cs="方正仿宋_GB2312"/>
                <w:bCs/>
              </w:rPr>
              <w:t>申请材料清单</w:t>
            </w:r>
          </w:p>
        </w:tc>
        <w:tc>
          <w:tcPr>
            <w:tcW w:w="5263" w:type="dxa"/>
            <w:gridSpan w:val="3"/>
          </w:tcPr>
          <w:p w14:paraId="3A940B59">
            <w:pPr>
              <w:ind w:firstLine="0" w:firstLineChars="0"/>
              <w:rPr>
                <w:rFonts w:hint="eastAsia" w:ascii="方正仿宋_GB2312" w:hAnsi="方正仿宋_GB2312" w:eastAsia="方正仿宋_GB2312" w:cs="方正仿宋_GB2312"/>
                <w:bCs/>
              </w:rPr>
            </w:pPr>
            <w:r>
              <w:rPr>
                <w:rFonts w:hint="eastAsia" w:ascii="方正仿宋_GB2312" w:hAnsi="方正仿宋_GB2312" w:eastAsia="方正仿宋_GB2312" w:cs="方正仿宋_GB2312"/>
                <w:bCs/>
              </w:rPr>
              <w:t>在适用栏目内打“√”</w:t>
            </w:r>
          </w:p>
        </w:tc>
      </w:tr>
      <w:tr w14:paraId="65305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3909" w:type="dxa"/>
          </w:tcPr>
          <w:p w14:paraId="5CEC2EED">
            <w:pPr>
              <w:ind w:firstLine="0" w:firstLineChars="0"/>
              <w:rPr>
                <w:rFonts w:hint="eastAsia" w:ascii="方正仿宋_GB2312" w:hAnsi="方正仿宋_GB2312" w:eastAsia="方正仿宋_GB2312" w:cs="方正仿宋_GB2312"/>
                <w:bCs/>
              </w:rPr>
            </w:pPr>
            <w:r>
              <w:rPr>
                <w:rFonts w:hint="eastAsia" w:ascii="方正仿宋_GB2312" w:hAnsi="方正仿宋_GB2312" w:eastAsia="方正仿宋_GB2312" w:cs="方正仿宋_GB2312"/>
                <w:bCs/>
              </w:rPr>
              <w:t>a. 企业法人营业执照复印件</w:t>
            </w:r>
          </w:p>
        </w:tc>
        <w:tc>
          <w:tcPr>
            <w:tcW w:w="5263" w:type="dxa"/>
            <w:gridSpan w:val="3"/>
          </w:tcPr>
          <w:p w14:paraId="5F6F4A5F">
            <w:pPr>
              <w:rPr>
                <w:rFonts w:hint="eastAsia" w:ascii="方正仿宋_GB2312" w:hAnsi="方正仿宋_GB2312" w:eastAsia="方正仿宋_GB2312" w:cs="方正仿宋_GB2312"/>
                <w:bCs/>
              </w:rPr>
            </w:pPr>
          </w:p>
        </w:tc>
      </w:tr>
      <w:tr w14:paraId="187A0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3909" w:type="dxa"/>
          </w:tcPr>
          <w:p w14:paraId="1823A64E">
            <w:pPr>
              <w:ind w:firstLine="0" w:firstLineChars="0"/>
              <w:rPr>
                <w:rFonts w:hint="eastAsia" w:ascii="方正仿宋_GB2312" w:hAnsi="方正仿宋_GB2312" w:eastAsia="方正仿宋_GB2312" w:cs="方正仿宋_GB2312"/>
                <w:bCs/>
              </w:rPr>
            </w:pPr>
            <w:r>
              <w:rPr>
                <w:rFonts w:hint="eastAsia" w:ascii="方正仿宋_GB2312" w:hAnsi="方正仿宋_GB2312" w:eastAsia="方正仿宋_GB2312" w:cs="方正仿宋_GB2312"/>
                <w:bCs/>
              </w:rPr>
              <w:t>b. 危险品培训大纲</w:t>
            </w:r>
          </w:p>
        </w:tc>
        <w:tc>
          <w:tcPr>
            <w:tcW w:w="5263" w:type="dxa"/>
            <w:gridSpan w:val="3"/>
          </w:tcPr>
          <w:p w14:paraId="1BE8C705">
            <w:pPr>
              <w:rPr>
                <w:rFonts w:hint="eastAsia" w:ascii="方正仿宋_GB2312" w:hAnsi="方正仿宋_GB2312" w:eastAsia="方正仿宋_GB2312" w:cs="方正仿宋_GB2312"/>
                <w:bCs/>
              </w:rPr>
            </w:pPr>
          </w:p>
        </w:tc>
      </w:tr>
      <w:tr w14:paraId="500EC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3909" w:type="dxa"/>
          </w:tcPr>
          <w:p w14:paraId="47192D54">
            <w:pPr>
              <w:ind w:firstLine="0" w:firstLineChars="0"/>
              <w:rPr>
                <w:rFonts w:hint="eastAsia" w:ascii="方正仿宋_GB2312" w:hAnsi="方正仿宋_GB2312" w:eastAsia="方正仿宋_GB2312" w:cs="方正仿宋_GB2312"/>
                <w:bCs/>
              </w:rPr>
            </w:pPr>
            <w:r>
              <w:rPr>
                <w:rFonts w:hint="eastAsia" w:ascii="方正仿宋_GB2312" w:hAnsi="方正仿宋_GB2312" w:eastAsia="方正仿宋_GB2312" w:cs="方正仿宋_GB2312"/>
                <w:bCs/>
              </w:rPr>
              <w:t>c. 危险品培训管理制度</w:t>
            </w:r>
          </w:p>
        </w:tc>
        <w:tc>
          <w:tcPr>
            <w:tcW w:w="5263" w:type="dxa"/>
            <w:gridSpan w:val="3"/>
          </w:tcPr>
          <w:p w14:paraId="05BA058A">
            <w:pPr>
              <w:rPr>
                <w:rFonts w:hint="eastAsia" w:ascii="方正仿宋_GB2312" w:hAnsi="方正仿宋_GB2312" w:eastAsia="方正仿宋_GB2312" w:cs="方正仿宋_GB2312"/>
                <w:bCs/>
              </w:rPr>
            </w:pPr>
          </w:p>
        </w:tc>
      </w:tr>
      <w:tr w14:paraId="5C67A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3" w:hRule="atLeast"/>
        </w:trPr>
        <w:tc>
          <w:tcPr>
            <w:tcW w:w="9172" w:type="dxa"/>
            <w:gridSpan w:val="4"/>
          </w:tcPr>
          <w:p w14:paraId="332ACC1E">
            <w:pPr>
              <w:ind w:firstLine="0" w:firstLineChars="0"/>
              <w:rPr>
                <w:rFonts w:hint="eastAsia" w:ascii="方正仿宋_GB2312" w:hAnsi="方正仿宋_GB2312" w:eastAsia="方正仿宋_GB2312" w:cs="方正仿宋_GB2312"/>
                <w:bCs/>
              </w:rPr>
            </w:pPr>
            <w:r>
              <w:rPr>
                <w:rFonts w:hint="eastAsia" w:ascii="方正仿宋_GB2312" w:hAnsi="方正仿宋_GB2312" w:eastAsia="方正仿宋_GB2312" w:cs="方正仿宋_GB2312"/>
                <w:bCs/>
              </w:rPr>
              <w:t>本企业作如下承诺：</w:t>
            </w:r>
          </w:p>
          <w:p w14:paraId="13DA31B8">
            <w:pPr>
              <w:ind w:firstLine="0" w:firstLineChars="0"/>
              <w:rPr>
                <w:rFonts w:hint="eastAsia" w:ascii="方正仿宋_GB2312" w:hAnsi="方正仿宋_GB2312" w:eastAsia="方正仿宋_GB2312" w:cs="方正仿宋_GB2312"/>
                <w:bCs/>
              </w:rPr>
            </w:pPr>
            <w:r>
              <w:rPr>
                <w:rFonts w:hint="eastAsia" w:ascii="方正仿宋_GB2312" w:hAnsi="方正仿宋_GB2312" w:eastAsia="方正仿宋_GB2312" w:cs="方正仿宋_GB2312"/>
                <w:bCs/>
              </w:rPr>
              <w:t>一、申请表所载信息及申请材料完整、真实、合法。</w:t>
            </w:r>
          </w:p>
          <w:p w14:paraId="497C6C06">
            <w:pPr>
              <w:ind w:firstLine="0" w:firstLineChars="0"/>
              <w:rPr>
                <w:rFonts w:hint="eastAsia" w:ascii="方正仿宋_GB2312" w:hAnsi="方正仿宋_GB2312" w:eastAsia="方正仿宋_GB2312" w:cs="方正仿宋_GB2312"/>
                <w:bCs/>
              </w:rPr>
            </w:pPr>
            <w:r>
              <w:rPr>
                <w:rFonts w:hint="eastAsia" w:ascii="方正仿宋_GB2312" w:hAnsi="方正仿宋_GB2312" w:eastAsia="方正仿宋_GB2312" w:cs="方正仿宋_GB2312"/>
                <w:bCs/>
              </w:rPr>
              <w:t>二、所提交的危险品培训大纲，符合《中华人民共和国民用航空法》、《民用航空危险品运输管理规定》、《公共航空危险品运输培训管理办法》和国际民航组织《危险物品安全航空运输技术细则》要求。</w:t>
            </w:r>
          </w:p>
          <w:p w14:paraId="43541C81">
            <w:pPr>
              <w:ind w:firstLine="0" w:firstLineChars="0"/>
              <w:rPr>
                <w:rFonts w:hint="eastAsia" w:ascii="方正仿宋_GB2312" w:hAnsi="方正仿宋_GB2312" w:eastAsia="方正仿宋_GB2312" w:cs="方正仿宋_GB2312"/>
                <w:bCs/>
              </w:rPr>
            </w:pPr>
            <w:r>
              <w:rPr>
                <w:rFonts w:hint="eastAsia" w:ascii="方正仿宋_GB2312" w:hAnsi="方正仿宋_GB2312" w:eastAsia="方正仿宋_GB2312" w:cs="方正仿宋_GB2312"/>
                <w:bCs/>
              </w:rPr>
              <w:t>三、经审查后，严格按照危险品培训大纲开展人员培训。</w:t>
            </w:r>
          </w:p>
          <w:p w14:paraId="3908D596">
            <w:pPr>
              <w:ind w:firstLine="0" w:firstLineChars="0"/>
              <w:rPr>
                <w:rFonts w:hint="eastAsia" w:ascii="方正仿宋_GB2312" w:hAnsi="方正仿宋_GB2312" w:eastAsia="方正仿宋_GB2312" w:cs="方正仿宋_GB2312"/>
                <w:bCs/>
              </w:rPr>
            </w:pPr>
            <w:r>
              <w:rPr>
                <w:rFonts w:hint="eastAsia" w:ascii="方正仿宋_GB2312" w:hAnsi="方正仿宋_GB2312" w:eastAsia="方正仿宋_GB2312" w:cs="方正仿宋_GB2312"/>
                <w:bCs/>
              </w:rPr>
              <w:t>四、经审查的危险品培训大纲如有修订，将报贵局审查后再行实施。</w:t>
            </w:r>
          </w:p>
          <w:p w14:paraId="638AE9C7">
            <w:pPr>
              <w:ind w:firstLine="0" w:firstLineChars="0"/>
              <w:rPr>
                <w:rFonts w:hint="eastAsia" w:ascii="方正仿宋_GB2312" w:hAnsi="方正仿宋_GB2312" w:eastAsia="方正仿宋_GB2312" w:cs="方正仿宋_GB2312"/>
                <w:bCs/>
              </w:rPr>
            </w:pPr>
            <w:r>
              <w:rPr>
                <w:rFonts w:hint="eastAsia" w:ascii="方正仿宋_GB2312" w:hAnsi="方正仿宋_GB2312" w:eastAsia="方正仿宋_GB2312" w:cs="方正仿宋_GB2312"/>
                <w:bCs/>
              </w:rPr>
              <w:t>以上如有违反，将承担一切法律责任。</w:t>
            </w:r>
          </w:p>
        </w:tc>
      </w:tr>
      <w:tr w14:paraId="6DE6B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9172" w:type="dxa"/>
            <w:gridSpan w:val="4"/>
          </w:tcPr>
          <w:p w14:paraId="407C2BA6">
            <w:pPr>
              <w:ind w:firstLine="0" w:firstLineChars="0"/>
              <w:rPr>
                <w:rFonts w:hint="eastAsia" w:ascii="方正仿宋_GB2312" w:hAnsi="方正仿宋_GB2312" w:eastAsia="方正仿宋_GB2312" w:cs="方正仿宋_GB2312"/>
                <w:bCs/>
              </w:rPr>
            </w:pPr>
            <w:r>
              <w:rPr>
                <w:rFonts w:hint="eastAsia" w:ascii="方正仿宋_GB2312" w:hAnsi="方正仿宋_GB2312" w:eastAsia="方正仿宋_GB2312" w:cs="方正仿宋_GB2312"/>
                <w:bCs/>
              </w:rPr>
              <w:t>填写说明：</w:t>
            </w:r>
          </w:p>
          <w:p w14:paraId="59E8549D">
            <w:pPr>
              <w:ind w:firstLine="0" w:firstLineChars="0"/>
              <w:rPr>
                <w:rFonts w:hint="eastAsia" w:ascii="方正仿宋_GB2312" w:hAnsi="方正仿宋_GB2312" w:eastAsia="方正仿宋_GB2312" w:cs="方正仿宋_GB2312"/>
                <w:bCs/>
              </w:rPr>
            </w:pPr>
            <w:r>
              <w:rPr>
                <w:rFonts w:hint="eastAsia" w:ascii="方正仿宋_GB2312" w:hAnsi="方正仿宋_GB2312" w:eastAsia="方正仿宋_GB2312" w:cs="方正仿宋_GB2312"/>
                <w:bCs/>
              </w:rPr>
              <w:t>1.参训人员类别填写危险品培训大纲适用的人员类别；</w:t>
            </w:r>
          </w:p>
          <w:p w14:paraId="7DF07399">
            <w:pPr>
              <w:ind w:firstLine="0" w:firstLineChars="0"/>
              <w:rPr>
                <w:rFonts w:hint="eastAsia" w:ascii="方正仿宋_GB2312" w:hAnsi="方正仿宋_GB2312" w:eastAsia="方正仿宋_GB2312" w:cs="方正仿宋_GB2312"/>
                <w:bCs/>
              </w:rPr>
            </w:pPr>
            <w:r>
              <w:rPr>
                <w:rFonts w:hint="eastAsia" w:ascii="方正仿宋_GB2312" w:hAnsi="方正仿宋_GB2312" w:eastAsia="方正仿宋_GB2312" w:cs="方正仿宋_GB2312"/>
                <w:bCs/>
              </w:rPr>
              <w:t>2.修订后的危险品培训大纲再次申请审查的，需在备注栏中说明。</w:t>
            </w:r>
          </w:p>
        </w:tc>
      </w:tr>
      <w:tr w14:paraId="5B6CE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9172" w:type="dxa"/>
            <w:gridSpan w:val="4"/>
          </w:tcPr>
          <w:p w14:paraId="2F094F58">
            <w:pPr>
              <w:ind w:firstLine="0" w:firstLineChars="0"/>
              <w:rPr>
                <w:rFonts w:hint="eastAsia" w:ascii="方正仿宋_GB2312" w:hAnsi="方正仿宋_GB2312" w:eastAsia="方正仿宋_GB2312" w:cs="方正仿宋_GB2312"/>
                <w:bCs/>
              </w:rPr>
            </w:pPr>
            <w:r>
              <w:rPr>
                <w:rFonts w:hint="eastAsia" w:ascii="方正仿宋_GB2312" w:hAnsi="方正仿宋_GB2312" w:eastAsia="方正仿宋_GB2312" w:cs="方正仿宋_GB2312"/>
                <w:bCs/>
              </w:rPr>
              <w:t>备注：</w:t>
            </w:r>
          </w:p>
          <w:p w14:paraId="7BE0663A">
            <w:pPr>
              <w:rPr>
                <w:rFonts w:hint="eastAsia" w:ascii="方正仿宋_GB2312" w:hAnsi="方正仿宋_GB2312" w:eastAsia="方正仿宋_GB2312" w:cs="方正仿宋_GB2312"/>
                <w:bCs/>
              </w:rPr>
            </w:pPr>
          </w:p>
        </w:tc>
      </w:tr>
    </w:tbl>
    <w:p w14:paraId="6A4573AC">
      <w:pPr>
        <w:rPr>
          <w:rFonts w:hint="eastAsia" w:ascii="方正仿宋_GB2312" w:hAnsi="方正仿宋_GB2312" w:eastAsia="方正仿宋_GB2312" w:cs="方正仿宋_GB2312"/>
          <w:bCs/>
        </w:rPr>
      </w:pPr>
    </w:p>
    <w:p w14:paraId="54B98721">
      <w:pPr>
        <w:jc w:val="center"/>
        <w:rPr>
          <w:rFonts w:hint="eastAsia" w:ascii="方正仿宋_GB2312" w:hAnsi="方正仿宋_GB2312" w:eastAsia="方正仿宋_GB2312" w:cs="方正仿宋_GB2312"/>
          <w:bCs/>
        </w:rPr>
      </w:pPr>
      <w:r>
        <w:rPr>
          <w:rFonts w:hint="eastAsia" w:ascii="方正仿宋_GB2312" w:hAnsi="方正仿宋_GB2312" w:eastAsia="方正仿宋_GB2312" w:cs="方正仿宋_GB2312"/>
          <w:bCs/>
        </w:rPr>
        <w:t xml:space="preserve">                                    盖  章 </w:t>
      </w:r>
    </w:p>
    <w:p w14:paraId="10D7D39B">
      <w:pPr>
        <w:rPr>
          <w:rFonts w:hint="eastAsia" w:ascii="方正仿宋_GB2312" w:hAnsi="方正仿宋_GB2312" w:eastAsia="方正仿宋_GB2312" w:cs="方正仿宋_GB2312"/>
          <w:bCs/>
        </w:rPr>
      </w:pPr>
      <w:r>
        <w:rPr>
          <w:rFonts w:hint="eastAsia" w:ascii="方正仿宋_GB2312" w:hAnsi="方正仿宋_GB2312" w:eastAsia="方正仿宋_GB2312" w:cs="方正仿宋_GB2312"/>
          <w:bCs/>
        </w:rPr>
        <w:t xml:space="preserve">                                       年   月   日</w:t>
      </w:r>
    </w:p>
    <w:p w14:paraId="71785442">
      <w:pPr>
        <w:rPr>
          <w:rFonts w:hint="eastAsia" w:ascii="方正仿宋_GB2312" w:hAnsi="方正仿宋_GB2312" w:eastAsia="方正仿宋_GB2312" w:cs="方正仿宋_GB2312"/>
          <w:bCs/>
        </w:rPr>
      </w:pPr>
    </w:p>
    <w:p w14:paraId="58B3BCF5">
      <w:pPr>
        <w:rPr>
          <w:rFonts w:hint="eastAsia" w:ascii="方正仿宋_GB2312" w:hAnsi="方正仿宋_GB2312" w:eastAsia="方正仿宋_GB2312" w:cs="方正仿宋_GB2312"/>
          <w:bCs/>
        </w:rPr>
      </w:pPr>
    </w:p>
    <w:p w14:paraId="128CCD52">
      <w:pPr>
        <w:rPr>
          <w:rFonts w:hint="eastAsia" w:ascii="方正仿宋_GB2312" w:hAnsi="方正仿宋_GB2312" w:eastAsia="方正仿宋_GB2312" w:cs="方正仿宋_GB2312"/>
          <w:bCs/>
        </w:rPr>
      </w:pPr>
    </w:p>
    <w:p w14:paraId="1612614C">
      <w:pPr>
        <w:rPr>
          <w:rFonts w:hint="eastAsia" w:ascii="方正仿宋_GB2312" w:hAnsi="方正仿宋_GB2312" w:eastAsia="方正仿宋_GB2312" w:cs="方正仿宋_GB2312"/>
          <w:bCs/>
        </w:rPr>
      </w:pPr>
    </w:p>
    <w:p w14:paraId="37E889DA">
      <w:pPr>
        <w:rPr>
          <w:rFonts w:hint="eastAsia" w:ascii="方正仿宋_GB2312" w:hAnsi="方正仿宋_GB2312" w:eastAsia="方正仿宋_GB2312" w:cs="方正仿宋_GB2312"/>
          <w:bCs/>
        </w:rPr>
      </w:pPr>
    </w:p>
    <w:p w14:paraId="6AC92400">
      <w:pPr>
        <w:rPr>
          <w:rFonts w:hint="eastAsia" w:ascii="方正仿宋_GB2312" w:hAnsi="方正仿宋_GB2312" w:eastAsia="方正仿宋_GB2312" w:cs="方正仿宋_GB2312"/>
          <w:bCs/>
        </w:rPr>
      </w:pPr>
    </w:p>
    <w:p w14:paraId="33C304C4">
      <w:pPr>
        <w:rPr>
          <w:rFonts w:hint="eastAsia" w:ascii="方正仿宋_GB2312" w:hAnsi="方正仿宋_GB2312" w:eastAsia="方正仿宋_GB2312" w:cs="方正仿宋_GB2312"/>
          <w:bCs/>
        </w:rPr>
      </w:pPr>
    </w:p>
    <w:p w14:paraId="4A1023FC">
      <w:pPr>
        <w:rPr>
          <w:rFonts w:hint="eastAsia" w:ascii="方正仿宋_GB2312" w:hAnsi="方正仿宋_GB2312" w:eastAsia="方正仿宋_GB2312" w:cs="方正仿宋_GB2312"/>
          <w:bCs/>
        </w:rPr>
      </w:pPr>
    </w:p>
    <w:p w14:paraId="4AA4259B">
      <w:pPr>
        <w:rPr>
          <w:rFonts w:hint="eastAsia" w:ascii="方正仿宋_GB2312" w:hAnsi="方正仿宋_GB2312" w:eastAsia="方正仿宋_GB2312" w:cs="方正仿宋_GB2312"/>
          <w:bCs/>
        </w:rPr>
      </w:pPr>
    </w:p>
    <w:p w14:paraId="5F80A864">
      <w:pPr>
        <w:rPr>
          <w:rFonts w:hint="eastAsia" w:ascii="方正仿宋_GB2312" w:hAnsi="方正仿宋_GB2312" w:eastAsia="方正仿宋_GB2312" w:cs="方正仿宋_GB2312"/>
          <w:bCs/>
        </w:rPr>
      </w:pPr>
    </w:p>
    <w:p w14:paraId="1731A166">
      <w:pPr>
        <w:rPr>
          <w:rFonts w:hint="eastAsia" w:ascii="方正仿宋_GB2312" w:hAnsi="方正仿宋_GB2312" w:eastAsia="方正仿宋_GB2312" w:cs="方正仿宋_GB2312"/>
          <w:bCs/>
        </w:rPr>
      </w:pPr>
    </w:p>
    <w:p w14:paraId="5EB2A0A3">
      <w:pPr>
        <w:rPr>
          <w:rFonts w:hint="eastAsia" w:ascii="方正仿宋_GB2312" w:hAnsi="方正仿宋_GB2312" w:eastAsia="方正仿宋_GB2312" w:cs="方正仿宋_GB2312"/>
          <w:bCs/>
        </w:rPr>
      </w:pPr>
    </w:p>
    <w:p w14:paraId="0B6B8508">
      <w:pPr>
        <w:rPr>
          <w:rFonts w:hint="eastAsia" w:ascii="方正仿宋_GB2312" w:hAnsi="方正仿宋_GB2312" w:eastAsia="方正仿宋_GB2312" w:cs="方正仿宋_GB2312"/>
          <w:bCs/>
        </w:rPr>
      </w:pPr>
    </w:p>
    <w:p w14:paraId="0CFA91C5">
      <w:pPr>
        <w:rPr>
          <w:rFonts w:hint="eastAsia" w:ascii="方正仿宋_GB2312" w:hAnsi="方正仿宋_GB2312" w:eastAsia="方正仿宋_GB2312" w:cs="方正仿宋_GB2312"/>
          <w:bCs/>
        </w:rPr>
      </w:pPr>
    </w:p>
    <w:p w14:paraId="50B8F35A">
      <w:pPr>
        <w:ind w:left="2273" w:firstLine="558"/>
        <w:rPr>
          <w:rFonts w:hint="eastAsia"/>
          <w:w w:val="93"/>
        </w:rPr>
      </w:pPr>
    </w:p>
    <w:p w14:paraId="7C4A3F30">
      <w:pPr>
        <w:ind w:firstLine="0" w:firstLineChars="0"/>
        <w:jc w:val="left"/>
        <w:rPr>
          <w:rFonts w:hint="eastAsia" w:eastAsia="黑体"/>
        </w:rPr>
      </w:pPr>
      <w:bookmarkStart w:id="462" w:name="_Toc27953"/>
      <w:bookmarkStart w:id="463" w:name="_Toc30005"/>
      <w:bookmarkStart w:id="464" w:name="_Toc6702"/>
      <w:bookmarkStart w:id="465" w:name="_Toc5062"/>
      <w:r>
        <w:rPr>
          <w:rFonts w:hint="eastAsia" w:ascii="黑体" w:eastAsia="黑体" w:cs="黑体"/>
        </w:rPr>
        <w:t>附录</w:t>
      </w:r>
      <w:bookmarkEnd w:id="462"/>
      <w:bookmarkEnd w:id="463"/>
      <w:bookmarkEnd w:id="464"/>
      <w:bookmarkEnd w:id="465"/>
      <w:r>
        <w:rPr>
          <w:rFonts w:hint="eastAsia" w:ascii="黑体" w:eastAsia="黑体" w:cs="黑体"/>
        </w:rPr>
        <w:t>2</w:t>
      </w:r>
    </w:p>
    <w:p w14:paraId="453BED60">
      <w:pPr>
        <w:ind w:firstLine="1084" w:firstLineChars="300"/>
        <w:outlineLvl w:val="0"/>
        <w:rPr>
          <w:rFonts w:hint="eastAsia" w:ascii="宋体" w:hAnsi="宋体" w:eastAsia="宋体" w:cs="黑体"/>
          <w:b/>
          <w:sz w:val="36"/>
          <w:szCs w:val="36"/>
        </w:rPr>
      </w:pPr>
      <w:bookmarkStart w:id="466" w:name="_Toc9550"/>
    </w:p>
    <w:p w14:paraId="0CDD58CA">
      <w:pPr>
        <w:ind w:firstLine="0" w:firstLineChars="0"/>
        <w:jc w:val="center"/>
        <w:outlineLvl w:val="0"/>
        <w:rPr>
          <w:rFonts w:hint="eastAsia" w:ascii="宋体" w:hAnsi="宋体" w:eastAsia="宋体" w:cs="黑体"/>
          <w:b/>
        </w:rPr>
      </w:pPr>
      <w:r>
        <w:rPr>
          <w:rFonts w:hint="eastAsia" w:ascii="宋体" w:hAnsi="宋体" w:eastAsia="宋体" w:cs="黑体"/>
          <w:b/>
        </w:rPr>
        <w:t>关于确认危险品培训大纲审查结果的函</w:t>
      </w:r>
      <w:bookmarkEnd w:id="466"/>
    </w:p>
    <w:p w14:paraId="74AA2474">
      <w:pPr>
        <w:ind w:firstLine="0" w:firstLineChars="0"/>
        <w:jc w:val="center"/>
        <w:outlineLvl w:val="0"/>
        <w:rPr>
          <w:rFonts w:hint="eastAsia" w:ascii="宋体" w:hAnsi="宋体" w:eastAsia="宋体" w:cs="黑体"/>
          <w:b/>
        </w:rPr>
      </w:pPr>
      <w:r>
        <w:rPr>
          <w:rFonts w:hint="eastAsia" w:ascii="宋体" w:hAnsi="宋体" w:eastAsia="宋体" w:cs="黑体"/>
          <w:b/>
        </w:rPr>
        <w:t>（参考样例）</w:t>
      </w:r>
    </w:p>
    <w:p w14:paraId="6E692B94">
      <w:pPr>
        <w:rPr>
          <w:rFonts w:hint="eastAsia"/>
        </w:rPr>
      </w:pPr>
    </w:p>
    <w:p w14:paraId="3C37B4A4">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单位名称：</w:t>
      </w:r>
    </w:p>
    <w:p w14:paraId="24213130">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你单位提交的《危险品培训大纲》已经审查合格。即日起，你单位可按该大纲对从事相关职责和任务的人员实施培训。</w:t>
      </w:r>
    </w:p>
    <w:p w14:paraId="77466AE3">
      <w:pPr>
        <w:rPr>
          <w:rFonts w:hint="eastAsia" w:ascii="方正仿宋_GB2312" w:hAnsi="方正仿宋_GB2312" w:eastAsia="方正仿宋_GB2312" w:cs="方正仿宋_GB2312"/>
          <w:u w:val="single"/>
        </w:rPr>
      </w:pPr>
      <w:r>
        <w:rPr>
          <w:rFonts w:hint="eastAsia" w:ascii="方正仿宋_GB2312" w:hAnsi="方正仿宋_GB2312" w:eastAsia="方正仿宋_GB2312" w:cs="方正仿宋_GB2312"/>
        </w:rPr>
        <w:t>危险品培训大纲编号：</w:t>
      </w:r>
    </w:p>
    <w:p w14:paraId="1CA6F08A">
      <w:pPr>
        <w:rPr>
          <w:rFonts w:hint="eastAsia" w:ascii="方正仿宋_GB2312" w:hAnsi="方正仿宋_GB2312" w:eastAsia="方正仿宋_GB2312" w:cs="方正仿宋_GB2312"/>
        </w:rPr>
      </w:pPr>
    </w:p>
    <w:p w14:paraId="716A2988">
      <w:pPr>
        <w:rPr>
          <w:rFonts w:hint="eastAsia" w:ascii="方正仿宋_GB2312" w:hAnsi="方正仿宋_GB2312" w:eastAsia="方正仿宋_GB2312" w:cs="方正仿宋_GB2312"/>
        </w:rPr>
      </w:pPr>
    </w:p>
    <w:p w14:paraId="0FC3AC09">
      <w:pPr>
        <w:ind w:firstLine="900" w:firstLineChars="300"/>
        <w:rPr>
          <w:rFonts w:hint="eastAsia" w:ascii="方正仿宋_GB2312" w:hAnsi="方正仿宋_GB2312" w:eastAsia="方正仿宋_GB2312" w:cs="方正仿宋_GB2312"/>
        </w:rPr>
      </w:pPr>
    </w:p>
    <w:p w14:paraId="3B07C814">
      <w:pPr>
        <w:ind w:firstLine="5586" w:firstLineChars="1900"/>
        <w:rPr>
          <w:rFonts w:hint="eastAsia" w:ascii="方正仿宋_GB2312" w:hAnsi="方正仿宋_GB2312" w:eastAsia="方正仿宋_GB2312" w:cs="方正仿宋_GB2312"/>
          <w:spacing w:val="-3"/>
        </w:rPr>
      </w:pPr>
      <w:r>
        <w:rPr>
          <w:rFonts w:hint="eastAsia" w:ascii="方正仿宋_GB2312" w:hAnsi="方正仿宋_GB2312" w:eastAsia="方正仿宋_GB2312" w:cs="方正仿宋_GB2312"/>
          <w:spacing w:val="-3"/>
        </w:rPr>
        <w:t>地区管理局</w:t>
      </w:r>
    </w:p>
    <w:p w14:paraId="046A7EBA">
      <w:pPr>
        <w:ind w:firstLine="5700" w:firstLineChars="19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年  月  日 </w:t>
      </w:r>
      <w:bookmarkStart w:id="467" w:name="_Toc25289"/>
      <w:bookmarkStart w:id="468" w:name="_Toc1500"/>
      <w:bookmarkStart w:id="469" w:name="_Toc11435"/>
    </w:p>
    <w:p w14:paraId="15C7C90C">
      <w:pPr>
        <w:rPr>
          <w:rFonts w:hint="eastAsia"/>
        </w:rPr>
      </w:pPr>
    </w:p>
    <w:p w14:paraId="14E2ECAE">
      <w:pPr>
        <w:rPr>
          <w:rFonts w:hint="eastAsia"/>
        </w:rPr>
      </w:pPr>
    </w:p>
    <w:p w14:paraId="6B42FAD9">
      <w:pPr>
        <w:rPr>
          <w:rFonts w:hint="eastAsia"/>
        </w:rPr>
      </w:pPr>
    </w:p>
    <w:p w14:paraId="606B1B7A">
      <w:pPr>
        <w:rPr>
          <w:rFonts w:hint="eastAsia"/>
        </w:rPr>
      </w:pPr>
    </w:p>
    <w:p w14:paraId="1D103FFC">
      <w:pPr>
        <w:rPr>
          <w:rFonts w:hint="eastAsia"/>
        </w:rPr>
      </w:pPr>
    </w:p>
    <w:p w14:paraId="0AF03860">
      <w:pPr>
        <w:rPr>
          <w:rFonts w:hint="eastAsia"/>
        </w:rPr>
      </w:pPr>
    </w:p>
    <w:p w14:paraId="5F5296A6">
      <w:pPr>
        <w:rPr>
          <w:rFonts w:hint="eastAsia"/>
        </w:rPr>
      </w:pPr>
    </w:p>
    <w:p w14:paraId="659A4CC5">
      <w:pPr>
        <w:rPr>
          <w:rFonts w:hint="eastAsia"/>
        </w:rPr>
      </w:pPr>
    </w:p>
    <w:p w14:paraId="441E01D1">
      <w:pPr>
        <w:ind w:firstLine="0" w:firstLineChars="0"/>
        <w:jc w:val="left"/>
        <w:rPr>
          <w:rFonts w:hint="eastAsia" w:eastAsia="黑体"/>
        </w:rPr>
      </w:pPr>
      <w:bookmarkStart w:id="470" w:name="_Toc3650"/>
      <w:bookmarkStart w:id="471" w:name="_Toc25022"/>
      <w:bookmarkStart w:id="472" w:name="_Toc32448"/>
      <w:bookmarkStart w:id="473" w:name="_Toc28567"/>
      <w:bookmarkStart w:id="474" w:name="_Toc4970"/>
      <w:r>
        <w:rPr>
          <w:rFonts w:hint="eastAsia" w:ascii="黑体" w:eastAsia="黑体" w:cs="黑体"/>
        </w:rPr>
        <w:t>附录3</w:t>
      </w:r>
    </w:p>
    <w:p w14:paraId="550E7C95">
      <w:pPr>
        <w:ind w:firstLine="0" w:firstLineChars="0"/>
        <w:jc w:val="center"/>
        <w:outlineLvl w:val="0"/>
        <w:rPr>
          <w:rFonts w:hint="eastAsia" w:ascii="宋体" w:hAnsi="宋体" w:eastAsia="宋体" w:cs="黑体"/>
          <w:b/>
          <w:sz w:val="36"/>
          <w:szCs w:val="36"/>
        </w:rPr>
      </w:pPr>
      <w:r>
        <w:rPr>
          <w:rFonts w:hint="eastAsia" w:ascii="宋体" w:hAnsi="宋体" w:eastAsia="宋体" w:cs="黑体"/>
          <w:b/>
        </w:rPr>
        <w:t>危险品培训大纲备案申请表</w:t>
      </w:r>
    </w:p>
    <w:tbl>
      <w:tblPr>
        <w:tblStyle w:val="16"/>
        <w:tblpPr w:leftFromText="180" w:rightFromText="180" w:vertAnchor="text" w:horzAnchor="page" w:tblpX="1362" w:tblpY="263"/>
        <w:tblOverlap w:val="never"/>
        <w:tblW w:w="91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52"/>
        <w:gridCol w:w="1688"/>
        <w:gridCol w:w="1520"/>
        <w:gridCol w:w="2212"/>
      </w:tblGrid>
      <w:tr w14:paraId="158BC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3752" w:type="dxa"/>
          </w:tcPr>
          <w:p w14:paraId="233837E3">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机构名称</w:t>
            </w:r>
          </w:p>
        </w:tc>
        <w:tc>
          <w:tcPr>
            <w:tcW w:w="5420" w:type="dxa"/>
            <w:gridSpan w:val="3"/>
          </w:tcPr>
          <w:p w14:paraId="5B2CF8C8">
            <w:pPr>
              <w:ind w:firstLine="0" w:firstLineChars="0"/>
              <w:rPr>
                <w:rFonts w:hint="eastAsia" w:ascii="方正仿宋_GB2312" w:hAnsi="方正仿宋_GB2312" w:eastAsia="方正仿宋_GB2312" w:cs="方正仿宋_GB2312"/>
              </w:rPr>
            </w:pPr>
          </w:p>
        </w:tc>
      </w:tr>
      <w:tr w14:paraId="63D1B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3752" w:type="dxa"/>
          </w:tcPr>
          <w:p w14:paraId="3BF0BBD2">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法定代表人姓名</w:t>
            </w:r>
          </w:p>
        </w:tc>
        <w:tc>
          <w:tcPr>
            <w:tcW w:w="1688" w:type="dxa"/>
          </w:tcPr>
          <w:p w14:paraId="5CDCB1D3">
            <w:pPr>
              <w:ind w:firstLine="0" w:firstLineChars="0"/>
              <w:rPr>
                <w:rFonts w:hint="eastAsia" w:ascii="方正仿宋_GB2312" w:hAnsi="方正仿宋_GB2312" w:eastAsia="方正仿宋_GB2312" w:cs="方正仿宋_GB2312"/>
              </w:rPr>
            </w:pPr>
          </w:p>
        </w:tc>
        <w:tc>
          <w:tcPr>
            <w:tcW w:w="1520" w:type="dxa"/>
          </w:tcPr>
          <w:p w14:paraId="54D8C14F">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地    址</w:t>
            </w:r>
          </w:p>
        </w:tc>
        <w:tc>
          <w:tcPr>
            <w:tcW w:w="2212" w:type="dxa"/>
          </w:tcPr>
          <w:p w14:paraId="710A0943">
            <w:pPr>
              <w:ind w:firstLine="0" w:firstLineChars="0"/>
              <w:rPr>
                <w:rFonts w:hint="eastAsia" w:ascii="方正仿宋_GB2312" w:hAnsi="方正仿宋_GB2312" w:eastAsia="方正仿宋_GB2312" w:cs="方正仿宋_GB2312"/>
              </w:rPr>
            </w:pPr>
          </w:p>
        </w:tc>
      </w:tr>
      <w:tr w14:paraId="11C10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752" w:type="dxa"/>
          </w:tcPr>
          <w:p w14:paraId="4554C298">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联 系 人</w:t>
            </w:r>
          </w:p>
        </w:tc>
        <w:tc>
          <w:tcPr>
            <w:tcW w:w="1688" w:type="dxa"/>
          </w:tcPr>
          <w:p w14:paraId="7EE2D39F">
            <w:pPr>
              <w:ind w:firstLine="0" w:firstLineChars="0"/>
              <w:rPr>
                <w:rFonts w:hint="eastAsia" w:ascii="方正仿宋_GB2312" w:hAnsi="方正仿宋_GB2312" w:eastAsia="方正仿宋_GB2312" w:cs="方正仿宋_GB2312"/>
              </w:rPr>
            </w:pPr>
          </w:p>
        </w:tc>
        <w:tc>
          <w:tcPr>
            <w:tcW w:w="1520" w:type="dxa"/>
          </w:tcPr>
          <w:p w14:paraId="223EFCFB">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电    话</w:t>
            </w:r>
          </w:p>
        </w:tc>
        <w:tc>
          <w:tcPr>
            <w:tcW w:w="2212" w:type="dxa"/>
          </w:tcPr>
          <w:p w14:paraId="5F48655D">
            <w:pPr>
              <w:ind w:firstLine="0" w:firstLineChars="0"/>
              <w:rPr>
                <w:rFonts w:hint="eastAsia" w:ascii="方正仿宋_GB2312" w:hAnsi="方正仿宋_GB2312" w:eastAsia="方正仿宋_GB2312" w:cs="方正仿宋_GB2312"/>
              </w:rPr>
            </w:pPr>
          </w:p>
        </w:tc>
      </w:tr>
      <w:tr w14:paraId="0524C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3752" w:type="dxa"/>
          </w:tcPr>
          <w:p w14:paraId="397979F1">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传    真</w:t>
            </w:r>
          </w:p>
        </w:tc>
        <w:tc>
          <w:tcPr>
            <w:tcW w:w="1688" w:type="dxa"/>
          </w:tcPr>
          <w:p w14:paraId="106C8E11">
            <w:pPr>
              <w:ind w:firstLine="0" w:firstLineChars="0"/>
              <w:rPr>
                <w:rFonts w:hint="eastAsia" w:ascii="方正仿宋_GB2312" w:hAnsi="方正仿宋_GB2312" w:eastAsia="方正仿宋_GB2312" w:cs="方正仿宋_GB2312"/>
              </w:rPr>
            </w:pPr>
          </w:p>
        </w:tc>
        <w:tc>
          <w:tcPr>
            <w:tcW w:w="1520" w:type="dxa"/>
          </w:tcPr>
          <w:p w14:paraId="1DE10B81">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邮政编码</w:t>
            </w:r>
          </w:p>
        </w:tc>
        <w:tc>
          <w:tcPr>
            <w:tcW w:w="2212" w:type="dxa"/>
          </w:tcPr>
          <w:p w14:paraId="215D5418">
            <w:pPr>
              <w:ind w:firstLine="0" w:firstLineChars="0"/>
              <w:rPr>
                <w:rFonts w:hint="eastAsia" w:ascii="方正仿宋_GB2312" w:hAnsi="方正仿宋_GB2312" w:eastAsia="方正仿宋_GB2312" w:cs="方正仿宋_GB2312"/>
              </w:rPr>
            </w:pPr>
          </w:p>
        </w:tc>
      </w:tr>
      <w:tr w14:paraId="6C67F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752" w:type="dxa"/>
          </w:tcPr>
          <w:p w14:paraId="4DE6298C">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参训人员类别</w:t>
            </w:r>
          </w:p>
        </w:tc>
        <w:tc>
          <w:tcPr>
            <w:tcW w:w="5420" w:type="dxa"/>
            <w:gridSpan w:val="3"/>
          </w:tcPr>
          <w:p w14:paraId="499CE188">
            <w:pPr>
              <w:ind w:firstLine="0" w:firstLineChars="0"/>
              <w:rPr>
                <w:rFonts w:hint="eastAsia" w:ascii="方正仿宋_GB2312" w:hAnsi="方正仿宋_GB2312" w:eastAsia="方正仿宋_GB2312" w:cs="方正仿宋_GB2312"/>
              </w:rPr>
            </w:pPr>
          </w:p>
        </w:tc>
      </w:tr>
      <w:tr w14:paraId="1A01C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3752" w:type="dxa"/>
          </w:tcPr>
          <w:p w14:paraId="3C087A0E">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申请材料清单</w:t>
            </w:r>
          </w:p>
        </w:tc>
        <w:tc>
          <w:tcPr>
            <w:tcW w:w="5420" w:type="dxa"/>
            <w:gridSpan w:val="3"/>
          </w:tcPr>
          <w:p w14:paraId="29BB0055">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在适用栏目内打“√”</w:t>
            </w:r>
          </w:p>
        </w:tc>
      </w:tr>
      <w:tr w14:paraId="0B9D5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3752" w:type="dxa"/>
          </w:tcPr>
          <w:p w14:paraId="4B76078E">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a.企业法人营业执照复印件</w:t>
            </w:r>
          </w:p>
        </w:tc>
        <w:tc>
          <w:tcPr>
            <w:tcW w:w="5420" w:type="dxa"/>
            <w:gridSpan w:val="3"/>
          </w:tcPr>
          <w:p w14:paraId="405B8512">
            <w:pPr>
              <w:ind w:firstLine="0" w:firstLineChars="0"/>
              <w:rPr>
                <w:rFonts w:hint="eastAsia" w:ascii="方正仿宋_GB2312" w:hAnsi="方正仿宋_GB2312" w:eastAsia="方正仿宋_GB2312" w:cs="方正仿宋_GB2312"/>
              </w:rPr>
            </w:pPr>
          </w:p>
        </w:tc>
      </w:tr>
      <w:tr w14:paraId="670FB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3752" w:type="dxa"/>
          </w:tcPr>
          <w:p w14:paraId="7B9F193D">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b.危险品培训大纲</w:t>
            </w:r>
          </w:p>
        </w:tc>
        <w:tc>
          <w:tcPr>
            <w:tcW w:w="5420" w:type="dxa"/>
            <w:gridSpan w:val="3"/>
          </w:tcPr>
          <w:p w14:paraId="21C8AA8C">
            <w:pPr>
              <w:ind w:firstLine="0" w:firstLineChars="0"/>
              <w:rPr>
                <w:rFonts w:hint="eastAsia" w:ascii="方正仿宋_GB2312" w:hAnsi="方正仿宋_GB2312" w:eastAsia="方正仿宋_GB2312" w:cs="方正仿宋_GB2312"/>
              </w:rPr>
            </w:pPr>
          </w:p>
        </w:tc>
      </w:tr>
      <w:tr w14:paraId="6ACA1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3752" w:type="dxa"/>
          </w:tcPr>
          <w:p w14:paraId="77436E26">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c.危险品培训管理制度</w:t>
            </w:r>
          </w:p>
        </w:tc>
        <w:tc>
          <w:tcPr>
            <w:tcW w:w="5420" w:type="dxa"/>
            <w:gridSpan w:val="3"/>
          </w:tcPr>
          <w:p w14:paraId="775A0EFE">
            <w:pPr>
              <w:ind w:firstLine="0" w:firstLineChars="0"/>
              <w:rPr>
                <w:rFonts w:hint="eastAsia" w:ascii="方正仿宋_GB2312" w:hAnsi="方正仿宋_GB2312" w:eastAsia="方正仿宋_GB2312" w:cs="方正仿宋_GB2312"/>
              </w:rPr>
            </w:pPr>
          </w:p>
        </w:tc>
      </w:tr>
      <w:tr w14:paraId="52447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3" w:hRule="atLeast"/>
        </w:trPr>
        <w:tc>
          <w:tcPr>
            <w:tcW w:w="9172" w:type="dxa"/>
            <w:gridSpan w:val="4"/>
          </w:tcPr>
          <w:p w14:paraId="0FCD7120">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本机构作如下承诺：</w:t>
            </w:r>
          </w:p>
          <w:p w14:paraId="36E9BDB5">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一、申请表所载信息及申请材料完整、真实、合法。</w:t>
            </w:r>
          </w:p>
          <w:p w14:paraId="4EC566C6">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二、所提交的危险品培训大纲，符合《中华人民共和国民用航空法》、《民用航空危险品运输管理规定》、《公共航空危险品运输培训管理办法》和国际民航组织《危险物品安全航空运输技术细则》要求。</w:t>
            </w:r>
          </w:p>
          <w:p w14:paraId="321FF76B">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三、经备案后，严格按照危险品培训大纲开展人员培训。</w:t>
            </w:r>
          </w:p>
          <w:p w14:paraId="24159662">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四、经备案的危险品培训大纲如有修订，将报贵局备案后再行实施。</w:t>
            </w:r>
          </w:p>
          <w:p w14:paraId="2159B804">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以上如有违反，将承担一切法律责任。</w:t>
            </w:r>
          </w:p>
        </w:tc>
      </w:tr>
      <w:tr w14:paraId="46B1B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9172" w:type="dxa"/>
            <w:gridSpan w:val="4"/>
          </w:tcPr>
          <w:p w14:paraId="2F2BD872">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填写说明：</w:t>
            </w:r>
          </w:p>
          <w:p w14:paraId="2AA114CD">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1.参训人员类别填写危险品培训大纲适用的人员类别；</w:t>
            </w:r>
          </w:p>
          <w:p w14:paraId="49A736B8">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2.修订后的危险品培训大纲再次申请备案的，需在备注栏中说明。</w:t>
            </w:r>
          </w:p>
        </w:tc>
      </w:tr>
      <w:tr w14:paraId="1769D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9172" w:type="dxa"/>
            <w:gridSpan w:val="4"/>
          </w:tcPr>
          <w:p w14:paraId="4BD54D02">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备注：</w:t>
            </w:r>
          </w:p>
        </w:tc>
      </w:tr>
    </w:tbl>
    <w:p w14:paraId="7D9A2377">
      <w:pPr>
        <w:ind w:firstLine="0" w:firstLineChars="0"/>
        <w:rPr>
          <w:rFonts w:hint="eastAsia" w:ascii="方正仿宋_GB2312" w:hAnsi="方正仿宋_GB2312" w:eastAsia="方正仿宋_GB2312" w:cs="方正仿宋_GB2312"/>
        </w:rPr>
      </w:pPr>
    </w:p>
    <w:p w14:paraId="7D08EC1D">
      <w:pPr>
        <w:ind w:firstLine="0" w:firstLineChars="0"/>
        <w:rPr>
          <w:rFonts w:hint="eastAsia" w:ascii="方正仿宋_GB2312" w:hAnsi="方正仿宋_GB2312" w:eastAsia="方正仿宋_GB2312" w:cs="方正仿宋_GB2312"/>
        </w:rPr>
      </w:pPr>
    </w:p>
    <w:p w14:paraId="5A503C3C">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                                              盖章</w:t>
      </w:r>
    </w:p>
    <w:p w14:paraId="35A0EC3D">
      <w:pPr>
        <w:ind w:firstLine="0" w:firstLineChars="0"/>
        <w:rPr>
          <w:rFonts w:hint="eastAsia" w:ascii="宋体" w:hAnsi="宋体" w:eastAsia="宋体" w:cs="宋体"/>
          <w:w w:val="93"/>
          <w:sz w:val="24"/>
          <w:szCs w:val="24"/>
        </w:rPr>
      </w:pPr>
      <w:r>
        <w:rPr>
          <w:rFonts w:hint="eastAsia" w:ascii="方正仿宋_GB2312" w:hAnsi="方正仿宋_GB2312" w:eastAsia="方正仿宋_GB2312" w:cs="方正仿宋_GB2312"/>
        </w:rPr>
        <w:t xml:space="preserve">                                            年  月  日</w:t>
      </w:r>
    </w:p>
    <w:p w14:paraId="2A046732">
      <w:pPr>
        <w:ind w:firstLine="480"/>
        <w:rPr>
          <w:rFonts w:hint="eastAsia" w:ascii="宋体" w:hAnsi="宋体" w:eastAsia="宋体" w:cs="宋体"/>
          <w:sz w:val="24"/>
          <w:szCs w:val="24"/>
        </w:rPr>
      </w:pPr>
    </w:p>
    <w:p w14:paraId="59B64470">
      <w:pPr>
        <w:ind w:firstLine="0" w:firstLineChars="0"/>
        <w:rPr>
          <w:rFonts w:hint="eastAsia" w:ascii="宋体" w:hAnsi="宋体" w:eastAsia="宋体" w:cs="宋体"/>
          <w:sz w:val="24"/>
          <w:szCs w:val="24"/>
        </w:rPr>
      </w:pPr>
    </w:p>
    <w:p w14:paraId="62A14407">
      <w:pPr>
        <w:ind w:firstLine="0" w:firstLineChars="0"/>
        <w:rPr>
          <w:rFonts w:hint="eastAsia" w:ascii="黑体" w:eastAsia="黑体" w:cs="黑体"/>
          <w:sz w:val="32"/>
          <w:szCs w:val="32"/>
        </w:rPr>
      </w:pPr>
    </w:p>
    <w:p w14:paraId="709A08E2">
      <w:pPr>
        <w:ind w:firstLine="0" w:firstLineChars="0"/>
        <w:rPr>
          <w:rFonts w:hint="eastAsia" w:ascii="黑体" w:eastAsia="黑体" w:cs="黑体"/>
          <w:sz w:val="32"/>
          <w:szCs w:val="32"/>
        </w:rPr>
      </w:pPr>
    </w:p>
    <w:p w14:paraId="45056066">
      <w:pPr>
        <w:ind w:firstLine="0" w:firstLineChars="0"/>
        <w:rPr>
          <w:rFonts w:hint="eastAsia" w:ascii="黑体" w:eastAsia="黑体" w:cs="黑体"/>
          <w:sz w:val="32"/>
          <w:szCs w:val="32"/>
        </w:rPr>
      </w:pPr>
    </w:p>
    <w:p w14:paraId="13BBA914">
      <w:pPr>
        <w:ind w:firstLine="0" w:firstLineChars="0"/>
        <w:rPr>
          <w:rFonts w:hint="eastAsia" w:ascii="黑体" w:eastAsia="黑体" w:cs="黑体"/>
          <w:sz w:val="32"/>
          <w:szCs w:val="32"/>
        </w:rPr>
      </w:pPr>
    </w:p>
    <w:p w14:paraId="73AD1E52">
      <w:pPr>
        <w:ind w:firstLine="0" w:firstLineChars="0"/>
        <w:rPr>
          <w:rFonts w:hint="eastAsia" w:ascii="黑体" w:eastAsia="黑体" w:cs="黑体"/>
          <w:sz w:val="32"/>
          <w:szCs w:val="32"/>
        </w:rPr>
      </w:pPr>
    </w:p>
    <w:p w14:paraId="5ECAA3C3">
      <w:pPr>
        <w:ind w:firstLine="0" w:firstLineChars="0"/>
        <w:rPr>
          <w:rFonts w:hint="eastAsia" w:ascii="黑体" w:eastAsia="黑体" w:cs="黑体"/>
          <w:sz w:val="32"/>
          <w:szCs w:val="32"/>
        </w:rPr>
      </w:pPr>
    </w:p>
    <w:p w14:paraId="5BC0256A">
      <w:pPr>
        <w:ind w:firstLine="0" w:firstLineChars="0"/>
        <w:rPr>
          <w:rFonts w:hint="eastAsia" w:ascii="黑体" w:eastAsia="黑体" w:cs="黑体"/>
          <w:sz w:val="32"/>
          <w:szCs w:val="32"/>
        </w:rPr>
      </w:pPr>
    </w:p>
    <w:p w14:paraId="474078FE">
      <w:pPr>
        <w:ind w:firstLine="0" w:firstLineChars="0"/>
        <w:rPr>
          <w:rFonts w:hint="eastAsia" w:ascii="黑体" w:eastAsia="黑体" w:cs="黑体"/>
          <w:sz w:val="32"/>
          <w:szCs w:val="32"/>
        </w:rPr>
      </w:pPr>
    </w:p>
    <w:p w14:paraId="3D36DE3A">
      <w:pPr>
        <w:ind w:firstLine="0" w:firstLineChars="0"/>
        <w:rPr>
          <w:rFonts w:hint="eastAsia" w:ascii="黑体" w:eastAsia="黑体" w:cs="黑体"/>
          <w:sz w:val="32"/>
          <w:szCs w:val="32"/>
        </w:rPr>
      </w:pPr>
    </w:p>
    <w:p w14:paraId="365C929C">
      <w:pPr>
        <w:ind w:firstLine="0" w:firstLineChars="0"/>
        <w:rPr>
          <w:rFonts w:hint="eastAsia" w:ascii="黑体" w:eastAsia="黑体" w:cs="黑体"/>
          <w:sz w:val="32"/>
          <w:szCs w:val="32"/>
        </w:rPr>
      </w:pPr>
    </w:p>
    <w:p w14:paraId="30666E2C">
      <w:pPr>
        <w:ind w:firstLine="0" w:firstLineChars="0"/>
        <w:rPr>
          <w:rFonts w:hint="eastAsia" w:ascii="黑体" w:eastAsia="黑体" w:cs="黑体"/>
          <w:sz w:val="32"/>
          <w:szCs w:val="32"/>
        </w:rPr>
      </w:pPr>
    </w:p>
    <w:p w14:paraId="0E729285">
      <w:pPr>
        <w:ind w:firstLine="0" w:firstLineChars="0"/>
        <w:rPr>
          <w:rFonts w:hint="eastAsia" w:ascii="黑体" w:eastAsia="黑体" w:cs="黑体"/>
          <w:sz w:val="32"/>
          <w:szCs w:val="32"/>
        </w:rPr>
      </w:pPr>
    </w:p>
    <w:p w14:paraId="4AB7AAF9">
      <w:pPr>
        <w:ind w:firstLine="0" w:firstLineChars="0"/>
        <w:rPr>
          <w:rFonts w:hint="eastAsia" w:ascii="黑体" w:eastAsia="黑体" w:cs="黑体"/>
          <w:sz w:val="32"/>
          <w:szCs w:val="32"/>
        </w:rPr>
      </w:pPr>
    </w:p>
    <w:p w14:paraId="66BFF332">
      <w:pPr>
        <w:ind w:firstLine="0" w:firstLineChars="0"/>
        <w:rPr>
          <w:rFonts w:hint="eastAsia" w:ascii="黑体" w:eastAsia="黑体" w:cs="黑体"/>
        </w:rPr>
      </w:pPr>
      <w:r>
        <w:rPr>
          <w:rFonts w:hint="eastAsia" w:ascii="黑体" w:eastAsia="黑体" w:cs="黑体"/>
        </w:rPr>
        <w:t>附录</w:t>
      </w:r>
      <w:bookmarkEnd w:id="470"/>
      <w:r>
        <w:rPr>
          <w:rFonts w:hint="eastAsia" w:ascii="黑体" w:eastAsia="黑体" w:cs="黑体"/>
        </w:rPr>
        <w:t>4</w:t>
      </w:r>
    </w:p>
    <w:bookmarkEnd w:id="467"/>
    <w:bookmarkEnd w:id="468"/>
    <w:bookmarkEnd w:id="469"/>
    <w:bookmarkEnd w:id="471"/>
    <w:bookmarkEnd w:id="472"/>
    <w:bookmarkEnd w:id="473"/>
    <w:bookmarkEnd w:id="474"/>
    <w:p w14:paraId="6CCEA860">
      <w:pPr>
        <w:ind w:firstLine="0" w:firstLineChars="0"/>
        <w:jc w:val="center"/>
        <w:outlineLvl w:val="0"/>
        <w:rPr>
          <w:rFonts w:hint="eastAsia" w:ascii="宋体" w:hAnsi="宋体" w:eastAsia="宋体"/>
          <w:sz w:val="36"/>
          <w:szCs w:val="36"/>
        </w:rPr>
      </w:pPr>
      <w:bookmarkStart w:id="475" w:name="_Toc17183"/>
      <w:r>
        <w:rPr>
          <w:rFonts w:hint="eastAsia" w:ascii="宋体" w:hAnsi="宋体" w:eastAsia="宋体" w:cs="黑体"/>
          <w:b/>
          <w:bCs/>
        </w:rPr>
        <w:t>危险品培训机构备案信息表</w:t>
      </w:r>
      <w:bookmarkEnd w:id="475"/>
    </w:p>
    <w:tbl>
      <w:tblPr>
        <w:tblStyle w:val="16"/>
        <w:tblW w:w="83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63"/>
        <w:gridCol w:w="1036"/>
        <w:gridCol w:w="1791"/>
        <w:gridCol w:w="3203"/>
      </w:tblGrid>
      <w:tr w14:paraId="57044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2363" w:type="dxa"/>
          </w:tcPr>
          <w:p w14:paraId="685142EF">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机构名称</w:t>
            </w:r>
          </w:p>
        </w:tc>
        <w:tc>
          <w:tcPr>
            <w:tcW w:w="6030" w:type="dxa"/>
            <w:gridSpan w:val="3"/>
          </w:tcPr>
          <w:p w14:paraId="4929111C">
            <w:pPr>
              <w:ind w:firstLine="0" w:firstLineChars="0"/>
              <w:rPr>
                <w:rFonts w:hint="eastAsia" w:ascii="方正仿宋_GB2312" w:hAnsi="方正仿宋_GB2312" w:eastAsia="方正仿宋_GB2312" w:cs="方正仿宋_GB2312"/>
              </w:rPr>
            </w:pPr>
          </w:p>
        </w:tc>
      </w:tr>
      <w:tr w14:paraId="59ACF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363" w:type="dxa"/>
          </w:tcPr>
          <w:p w14:paraId="0CD62A4D">
            <w:pPr>
              <w:ind w:firstLine="0" w:firstLineChars="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w:t>
            </w:r>
          </w:p>
        </w:tc>
        <w:tc>
          <w:tcPr>
            <w:tcW w:w="1036" w:type="dxa"/>
          </w:tcPr>
          <w:p w14:paraId="6692E5BC">
            <w:pPr>
              <w:ind w:firstLine="0" w:firstLineChars="0"/>
              <w:rPr>
                <w:rFonts w:hint="eastAsia" w:ascii="方正仿宋_GB2312" w:hAnsi="方正仿宋_GB2312" w:eastAsia="方正仿宋_GB2312" w:cs="方正仿宋_GB2312"/>
              </w:rPr>
            </w:pPr>
          </w:p>
        </w:tc>
        <w:tc>
          <w:tcPr>
            <w:tcW w:w="1791" w:type="dxa"/>
          </w:tcPr>
          <w:p w14:paraId="4E1681B7">
            <w:pPr>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地    址</w:t>
            </w:r>
          </w:p>
        </w:tc>
        <w:tc>
          <w:tcPr>
            <w:tcW w:w="3203" w:type="dxa"/>
          </w:tcPr>
          <w:p w14:paraId="0C169B57">
            <w:pPr>
              <w:ind w:firstLine="0" w:firstLineChars="0"/>
              <w:rPr>
                <w:rFonts w:hint="eastAsia" w:ascii="方正仿宋_GB2312" w:hAnsi="方正仿宋_GB2312" w:eastAsia="方正仿宋_GB2312" w:cs="方正仿宋_GB2312"/>
              </w:rPr>
            </w:pPr>
          </w:p>
        </w:tc>
      </w:tr>
      <w:tr w14:paraId="08F35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2363" w:type="dxa"/>
          </w:tcPr>
          <w:p w14:paraId="616EC091">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联系人</w:t>
            </w:r>
          </w:p>
        </w:tc>
        <w:tc>
          <w:tcPr>
            <w:tcW w:w="1036" w:type="dxa"/>
          </w:tcPr>
          <w:p w14:paraId="30CB1A7B">
            <w:pPr>
              <w:ind w:firstLine="0" w:firstLineChars="0"/>
              <w:rPr>
                <w:rFonts w:hint="eastAsia" w:ascii="方正仿宋_GB2312" w:hAnsi="方正仿宋_GB2312" w:eastAsia="方正仿宋_GB2312" w:cs="方正仿宋_GB2312"/>
              </w:rPr>
            </w:pPr>
          </w:p>
        </w:tc>
        <w:tc>
          <w:tcPr>
            <w:tcW w:w="1791" w:type="dxa"/>
          </w:tcPr>
          <w:p w14:paraId="49A95B81">
            <w:pPr>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电    话</w:t>
            </w:r>
          </w:p>
        </w:tc>
        <w:tc>
          <w:tcPr>
            <w:tcW w:w="3203" w:type="dxa"/>
          </w:tcPr>
          <w:p w14:paraId="121F37EB">
            <w:pPr>
              <w:ind w:firstLine="0" w:firstLineChars="0"/>
              <w:rPr>
                <w:rFonts w:hint="eastAsia" w:ascii="方正仿宋_GB2312" w:hAnsi="方正仿宋_GB2312" w:eastAsia="方正仿宋_GB2312" w:cs="方正仿宋_GB2312"/>
              </w:rPr>
            </w:pPr>
          </w:p>
        </w:tc>
      </w:tr>
      <w:tr w14:paraId="7D858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363" w:type="dxa"/>
          </w:tcPr>
          <w:p w14:paraId="69D87088">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传   真</w:t>
            </w:r>
          </w:p>
        </w:tc>
        <w:tc>
          <w:tcPr>
            <w:tcW w:w="1036" w:type="dxa"/>
          </w:tcPr>
          <w:p w14:paraId="416943E0">
            <w:pPr>
              <w:ind w:firstLine="0" w:firstLineChars="0"/>
              <w:rPr>
                <w:rFonts w:hint="eastAsia" w:ascii="方正仿宋_GB2312" w:hAnsi="方正仿宋_GB2312" w:eastAsia="方正仿宋_GB2312" w:cs="方正仿宋_GB2312"/>
              </w:rPr>
            </w:pPr>
          </w:p>
        </w:tc>
        <w:tc>
          <w:tcPr>
            <w:tcW w:w="1791" w:type="dxa"/>
          </w:tcPr>
          <w:p w14:paraId="3C22200B">
            <w:pPr>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邮政编码</w:t>
            </w:r>
          </w:p>
        </w:tc>
        <w:tc>
          <w:tcPr>
            <w:tcW w:w="3203" w:type="dxa"/>
          </w:tcPr>
          <w:p w14:paraId="744BE5D2">
            <w:pPr>
              <w:ind w:firstLine="0" w:firstLineChars="0"/>
              <w:rPr>
                <w:rFonts w:hint="eastAsia" w:ascii="方正仿宋_GB2312" w:hAnsi="方正仿宋_GB2312" w:eastAsia="方正仿宋_GB2312" w:cs="方正仿宋_GB2312"/>
              </w:rPr>
            </w:pPr>
          </w:p>
        </w:tc>
      </w:tr>
      <w:tr w14:paraId="2CDEC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363" w:type="dxa"/>
            <w:vMerge w:val="restart"/>
            <w:tcBorders>
              <w:bottom w:val="nil"/>
            </w:tcBorders>
            <w:vAlign w:val="center"/>
          </w:tcPr>
          <w:p w14:paraId="68AAE20A">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教员情况</w:t>
            </w:r>
          </w:p>
        </w:tc>
        <w:tc>
          <w:tcPr>
            <w:tcW w:w="1036" w:type="dxa"/>
          </w:tcPr>
          <w:p w14:paraId="66EB93E0">
            <w:pPr>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姓  名</w:t>
            </w:r>
          </w:p>
        </w:tc>
        <w:tc>
          <w:tcPr>
            <w:tcW w:w="1791" w:type="dxa"/>
          </w:tcPr>
          <w:p w14:paraId="18C58A49">
            <w:pPr>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教员类别</w:t>
            </w:r>
          </w:p>
        </w:tc>
        <w:tc>
          <w:tcPr>
            <w:tcW w:w="3203" w:type="dxa"/>
          </w:tcPr>
          <w:p w14:paraId="40DF24E0">
            <w:pPr>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授课范围</w:t>
            </w:r>
          </w:p>
        </w:tc>
      </w:tr>
      <w:tr w14:paraId="1B9DE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2363" w:type="dxa"/>
            <w:vMerge w:val="continue"/>
            <w:tcBorders>
              <w:top w:val="nil"/>
              <w:bottom w:val="nil"/>
            </w:tcBorders>
          </w:tcPr>
          <w:p w14:paraId="7109AD2A">
            <w:pPr>
              <w:ind w:firstLine="0" w:firstLineChars="0"/>
              <w:rPr>
                <w:rFonts w:hint="eastAsia" w:ascii="方正仿宋_GB2312" w:hAnsi="方正仿宋_GB2312" w:eastAsia="方正仿宋_GB2312" w:cs="方正仿宋_GB2312"/>
              </w:rPr>
            </w:pPr>
          </w:p>
        </w:tc>
        <w:tc>
          <w:tcPr>
            <w:tcW w:w="1036" w:type="dxa"/>
          </w:tcPr>
          <w:p w14:paraId="3DC67E98">
            <w:pPr>
              <w:ind w:firstLine="0" w:firstLineChars="0"/>
              <w:rPr>
                <w:rFonts w:hint="eastAsia" w:ascii="方正仿宋_GB2312" w:hAnsi="方正仿宋_GB2312" w:eastAsia="方正仿宋_GB2312" w:cs="方正仿宋_GB2312"/>
              </w:rPr>
            </w:pPr>
          </w:p>
        </w:tc>
        <w:tc>
          <w:tcPr>
            <w:tcW w:w="1791" w:type="dxa"/>
          </w:tcPr>
          <w:p w14:paraId="465ED006">
            <w:pPr>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A □ B □</w:t>
            </w:r>
          </w:p>
        </w:tc>
        <w:tc>
          <w:tcPr>
            <w:tcW w:w="3203" w:type="dxa"/>
          </w:tcPr>
          <w:p w14:paraId="44628EE5">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（填写危险品职责编号）</w:t>
            </w:r>
          </w:p>
        </w:tc>
      </w:tr>
      <w:tr w14:paraId="41B69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2363" w:type="dxa"/>
            <w:vMerge w:val="continue"/>
            <w:tcBorders>
              <w:top w:val="nil"/>
              <w:bottom w:val="nil"/>
            </w:tcBorders>
          </w:tcPr>
          <w:p w14:paraId="2D3A1CB4">
            <w:pPr>
              <w:ind w:firstLine="0" w:firstLineChars="0"/>
              <w:rPr>
                <w:rFonts w:hint="eastAsia" w:ascii="方正仿宋_GB2312" w:hAnsi="方正仿宋_GB2312" w:eastAsia="方正仿宋_GB2312" w:cs="方正仿宋_GB2312"/>
              </w:rPr>
            </w:pPr>
          </w:p>
        </w:tc>
        <w:tc>
          <w:tcPr>
            <w:tcW w:w="1036" w:type="dxa"/>
          </w:tcPr>
          <w:p w14:paraId="59228EC5">
            <w:pPr>
              <w:ind w:firstLine="0" w:firstLineChars="0"/>
              <w:rPr>
                <w:rFonts w:hint="eastAsia" w:ascii="方正仿宋_GB2312" w:hAnsi="方正仿宋_GB2312" w:eastAsia="方正仿宋_GB2312" w:cs="方正仿宋_GB2312"/>
              </w:rPr>
            </w:pPr>
          </w:p>
        </w:tc>
        <w:tc>
          <w:tcPr>
            <w:tcW w:w="1791" w:type="dxa"/>
          </w:tcPr>
          <w:p w14:paraId="50DE27B7">
            <w:pPr>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A □ B □</w:t>
            </w:r>
          </w:p>
        </w:tc>
        <w:tc>
          <w:tcPr>
            <w:tcW w:w="3203" w:type="dxa"/>
          </w:tcPr>
          <w:p w14:paraId="0AF46902">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（填写危险品职责编号）</w:t>
            </w:r>
          </w:p>
        </w:tc>
      </w:tr>
      <w:tr w14:paraId="73329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363" w:type="dxa"/>
            <w:vMerge w:val="continue"/>
            <w:tcBorders>
              <w:top w:val="nil"/>
            </w:tcBorders>
          </w:tcPr>
          <w:p w14:paraId="388ECC11">
            <w:pPr>
              <w:ind w:firstLine="0" w:firstLineChars="0"/>
              <w:rPr>
                <w:rFonts w:hint="eastAsia" w:ascii="方正仿宋_GB2312" w:hAnsi="方正仿宋_GB2312" w:eastAsia="方正仿宋_GB2312" w:cs="方正仿宋_GB2312"/>
              </w:rPr>
            </w:pPr>
          </w:p>
        </w:tc>
        <w:tc>
          <w:tcPr>
            <w:tcW w:w="1036" w:type="dxa"/>
          </w:tcPr>
          <w:p w14:paraId="46887100">
            <w:pPr>
              <w:ind w:firstLine="0" w:firstLineChars="0"/>
              <w:rPr>
                <w:rFonts w:hint="eastAsia" w:ascii="方正仿宋_GB2312" w:hAnsi="方正仿宋_GB2312" w:eastAsia="方正仿宋_GB2312" w:cs="方正仿宋_GB2312"/>
              </w:rPr>
            </w:pPr>
          </w:p>
        </w:tc>
        <w:tc>
          <w:tcPr>
            <w:tcW w:w="1791" w:type="dxa"/>
          </w:tcPr>
          <w:p w14:paraId="2F050F9C">
            <w:pPr>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A □ B □</w:t>
            </w:r>
          </w:p>
        </w:tc>
        <w:tc>
          <w:tcPr>
            <w:tcW w:w="3203" w:type="dxa"/>
          </w:tcPr>
          <w:p w14:paraId="7BA50D02">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（填写危险品职责编号）</w:t>
            </w:r>
          </w:p>
        </w:tc>
      </w:tr>
      <w:tr w14:paraId="1C3D2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363" w:type="dxa"/>
            <w:vMerge w:val="restart"/>
            <w:tcBorders>
              <w:top w:val="nil"/>
            </w:tcBorders>
          </w:tcPr>
          <w:p w14:paraId="586A6581">
            <w:pPr>
              <w:ind w:firstLine="0" w:firstLineChars="0"/>
              <w:rPr>
                <w:rFonts w:hint="eastAsia" w:ascii="方正仿宋_GB2312" w:hAnsi="方正仿宋_GB2312" w:eastAsia="方正仿宋_GB2312" w:cs="方正仿宋_GB2312"/>
              </w:rPr>
            </w:pPr>
          </w:p>
          <w:p w14:paraId="0DE5BBA4">
            <w:pPr>
              <w:ind w:firstLine="0" w:firstLineChars="0"/>
              <w:rPr>
                <w:rFonts w:hint="eastAsia" w:ascii="方正仿宋_GB2312" w:hAnsi="方正仿宋_GB2312" w:eastAsia="方正仿宋_GB2312" w:cs="方正仿宋_GB2312"/>
              </w:rPr>
            </w:pPr>
          </w:p>
          <w:p w14:paraId="34C20D9A">
            <w:pPr>
              <w:ind w:firstLine="0" w:firstLineChars="0"/>
              <w:rPr>
                <w:rFonts w:hint="eastAsia" w:ascii="方正仿宋_GB2312" w:hAnsi="方正仿宋_GB2312" w:eastAsia="方正仿宋_GB2312" w:cs="方正仿宋_GB2312"/>
              </w:rPr>
            </w:pPr>
          </w:p>
          <w:p w14:paraId="7B30A049">
            <w:pPr>
              <w:ind w:firstLine="0" w:firstLineChars="0"/>
              <w:rPr>
                <w:rFonts w:hint="eastAsia" w:ascii="方正仿宋_GB2312" w:hAnsi="方正仿宋_GB2312" w:eastAsia="方正仿宋_GB2312" w:cs="方正仿宋_GB2312"/>
              </w:rPr>
            </w:pPr>
          </w:p>
          <w:p w14:paraId="75821856">
            <w:pPr>
              <w:ind w:firstLine="0" w:firstLineChars="0"/>
              <w:rPr>
                <w:rFonts w:hint="eastAsia" w:ascii="方正仿宋_GB2312" w:hAnsi="方正仿宋_GB2312" w:eastAsia="方正仿宋_GB2312" w:cs="方正仿宋_GB2312"/>
              </w:rPr>
            </w:pPr>
          </w:p>
          <w:p w14:paraId="64025F4A">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机构授课范围和</w:t>
            </w:r>
          </w:p>
          <w:p w14:paraId="423CB180">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危险品通用职责 </w:t>
            </w:r>
          </w:p>
        </w:tc>
        <w:tc>
          <w:tcPr>
            <w:tcW w:w="6030" w:type="dxa"/>
            <w:gridSpan w:val="3"/>
          </w:tcPr>
          <w:p w14:paraId="14F3B4F7">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1.负责准备托运的危险品货物</w:t>
            </w:r>
          </w:p>
        </w:tc>
      </w:tr>
      <w:tr w14:paraId="6A492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363" w:type="dxa"/>
            <w:vMerge w:val="continue"/>
          </w:tcPr>
          <w:p w14:paraId="7A3BC921">
            <w:pPr>
              <w:ind w:firstLine="0" w:firstLineChars="0"/>
              <w:rPr>
                <w:rFonts w:hint="eastAsia" w:ascii="方正仿宋_GB2312" w:hAnsi="方正仿宋_GB2312" w:eastAsia="方正仿宋_GB2312" w:cs="方正仿宋_GB2312"/>
              </w:rPr>
            </w:pPr>
          </w:p>
          <w:p w14:paraId="7433C3A3">
            <w:pPr>
              <w:ind w:firstLine="0" w:firstLineChars="0"/>
              <w:rPr>
                <w:rFonts w:hint="eastAsia"/>
              </w:rPr>
            </w:pPr>
          </w:p>
          <w:p w14:paraId="592527A8">
            <w:pPr>
              <w:ind w:firstLine="0" w:firstLineChars="0"/>
              <w:jc w:val="left"/>
              <w:rPr>
                <w:rFonts w:hint="eastAsia" w:ascii="仿宋_GB2312" w:hAnsi="黑体" w:eastAsia="仿宋_GB2312" w:cs="仿宋"/>
                <w:sz w:val="30"/>
                <w:szCs w:val="30"/>
              </w:rPr>
            </w:pPr>
          </w:p>
        </w:tc>
        <w:tc>
          <w:tcPr>
            <w:tcW w:w="6030" w:type="dxa"/>
            <w:gridSpan w:val="3"/>
          </w:tcPr>
          <w:p w14:paraId="66303AF1">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2.负责办理或接收交运的普通货物（非危险品）</w:t>
            </w:r>
          </w:p>
        </w:tc>
      </w:tr>
      <w:tr w14:paraId="78DAA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363" w:type="dxa"/>
            <w:vMerge w:val="continue"/>
          </w:tcPr>
          <w:p w14:paraId="7373C8C3">
            <w:pPr>
              <w:ind w:firstLine="0" w:firstLineChars="0"/>
              <w:rPr>
                <w:rFonts w:hint="eastAsia" w:ascii="方正仿宋_GB2312" w:hAnsi="方正仿宋_GB2312" w:eastAsia="方正仿宋_GB2312" w:cs="方正仿宋_GB2312"/>
              </w:rPr>
            </w:pPr>
          </w:p>
        </w:tc>
        <w:tc>
          <w:tcPr>
            <w:tcW w:w="6030" w:type="dxa"/>
            <w:gridSpan w:val="3"/>
          </w:tcPr>
          <w:p w14:paraId="3ABF4207">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3.负责办理或接收托运的危险品货物</w:t>
            </w:r>
          </w:p>
        </w:tc>
      </w:tr>
      <w:tr w14:paraId="7EA7F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363" w:type="dxa"/>
            <w:vMerge w:val="continue"/>
          </w:tcPr>
          <w:p w14:paraId="2A004032">
            <w:pPr>
              <w:ind w:firstLine="0" w:firstLineChars="0"/>
              <w:rPr>
                <w:rFonts w:hint="eastAsia" w:ascii="方正仿宋_GB2312" w:hAnsi="方正仿宋_GB2312" w:eastAsia="方正仿宋_GB2312" w:cs="方正仿宋_GB2312"/>
              </w:rPr>
            </w:pPr>
          </w:p>
        </w:tc>
        <w:tc>
          <w:tcPr>
            <w:tcW w:w="6030" w:type="dxa"/>
            <w:gridSpan w:val="3"/>
          </w:tcPr>
          <w:p w14:paraId="5226A7E6">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4.负责处理仓库货物、装载和卸载集装器以及装载和卸载飞机货舱</w:t>
            </w:r>
          </w:p>
        </w:tc>
      </w:tr>
      <w:tr w14:paraId="786D8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363" w:type="dxa"/>
            <w:vMerge w:val="continue"/>
          </w:tcPr>
          <w:p w14:paraId="61A04B10">
            <w:pPr>
              <w:ind w:firstLine="0" w:firstLineChars="0"/>
              <w:rPr>
                <w:rFonts w:hint="eastAsia" w:ascii="方正仿宋_GB2312" w:hAnsi="方正仿宋_GB2312" w:eastAsia="方正仿宋_GB2312" w:cs="方正仿宋_GB2312"/>
              </w:rPr>
            </w:pPr>
          </w:p>
        </w:tc>
        <w:tc>
          <w:tcPr>
            <w:tcW w:w="6030" w:type="dxa"/>
            <w:gridSpan w:val="3"/>
          </w:tcPr>
          <w:p w14:paraId="1BE0EDAC">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5.负责接收旅客和机组行李、管理航空器登机口、及其他机场内旅客服务人员</w:t>
            </w:r>
          </w:p>
        </w:tc>
      </w:tr>
      <w:tr w14:paraId="11067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363" w:type="dxa"/>
            <w:vMerge w:val="continue"/>
          </w:tcPr>
          <w:p w14:paraId="0E26AB13">
            <w:pPr>
              <w:ind w:firstLine="0" w:firstLineChars="0"/>
              <w:rPr>
                <w:rFonts w:hint="eastAsia" w:ascii="方正仿宋_GB2312" w:hAnsi="方正仿宋_GB2312" w:eastAsia="方正仿宋_GB2312" w:cs="方正仿宋_GB2312"/>
              </w:rPr>
            </w:pPr>
          </w:p>
        </w:tc>
        <w:tc>
          <w:tcPr>
            <w:tcW w:w="6030" w:type="dxa"/>
            <w:gridSpan w:val="3"/>
          </w:tcPr>
          <w:p w14:paraId="4A44CADB">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6.负责航空器装载计划</w:t>
            </w:r>
          </w:p>
        </w:tc>
      </w:tr>
      <w:tr w14:paraId="5F65D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363" w:type="dxa"/>
            <w:vMerge w:val="continue"/>
          </w:tcPr>
          <w:p w14:paraId="735B1433">
            <w:pPr>
              <w:ind w:firstLine="0" w:firstLineChars="0"/>
              <w:rPr>
                <w:rFonts w:hint="eastAsia" w:ascii="方正仿宋_GB2312" w:hAnsi="方正仿宋_GB2312" w:eastAsia="方正仿宋_GB2312" w:cs="方正仿宋_GB2312"/>
              </w:rPr>
            </w:pPr>
          </w:p>
        </w:tc>
        <w:tc>
          <w:tcPr>
            <w:tcW w:w="6030" w:type="dxa"/>
            <w:gridSpan w:val="3"/>
          </w:tcPr>
          <w:p w14:paraId="284C279E">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7.飞行机组</w:t>
            </w:r>
          </w:p>
        </w:tc>
      </w:tr>
      <w:tr w14:paraId="25FAB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363" w:type="dxa"/>
            <w:vMerge w:val="continue"/>
          </w:tcPr>
          <w:p w14:paraId="3013C922">
            <w:pPr>
              <w:ind w:firstLine="0" w:firstLineChars="0"/>
              <w:rPr>
                <w:rFonts w:hint="eastAsia" w:ascii="方正仿宋_GB2312" w:hAnsi="方正仿宋_GB2312" w:eastAsia="方正仿宋_GB2312" w:cs="方正仿宋_GB2312"/>
              </w:rPr>
            </w:pPr>
          </w:p>
        </w:tc>
        <w:tc>
          <w:tcPr>
            <w:tcW w:w="6030" w:type="dxa"/>
            <w:gridSpan w:val="3"/>
          </w:tcPr>
          <w:p w14:paraId="558DD9CC">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8.飞行运行和飞行签派</w:t>
            </w:r>
          </w:p>
        </w:tc>
      </w:tr>
      <w:tr w14:paraId="2BEE4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363" w:type="dxa"/>
            <w:vMerge w:val="continue"/>
          </w:tcPr>
          <w:p w14:paraId="4D74A2AD">
            <w:pPr>
              <w:ind w:firstLine="0" w:firstLineChars="0"/>
              <w:rPr>
                <w:rFonts w:hint="eastAsia" w:ascii="方正仿宋_GB2312" w:hAnsi="方正仿宋_GB2312" w:eastAsia="方正仿宋_GB2312" w:cs="方正仿宋_GB2312"/>
              </w:rPr>
            </w:pPr>
          </w:p>
        </w:tc>
        <w:tc>
          <w:tcPr>
            <w:tcW w:w="6030" w:type="dxa"/>
            <w:gridSpan w:val="3"/>
          </w:tcPr>
          <w:p w14:paraId="7FFC4F73">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9.客舱机组</w:t>
            </w:r>
          </w:p>
        </w:tc>
      </w:tr>
      <w:tr w14:paraId="4823F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363" w:type="dxa"/>
            <w:vMerge w:val="continue"/>
          </w:tcPr>
          <w:p w14:paraId="542F2B8A">
            <w:pPr>
              <w:ind w:firstLine="0" w:firstLineChars="0"/>
              <w:rPr>
                <w:rFonts w:hint="eastAsia" w:ascii="方正仿宋_GB2312" w:hAnsi="方正仿宋_GB2312" w:eastAsia="方正仿宋_GB2312" w:cs="方正仿宋_GB2312"/>
              </w:rPr>
            </w:pPr>
          </w:p>
        </w:tc>
        <w:tc>
          <w:tcPr>
            <w:tcW w:w="6030" w:type="dxa"/>
            <w:gridSpan w:val="3"/>
          </w:tcPr>
          <w:p w14:paraId="0886CC75">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10.负责旅客和机组及其行李、货物和邮件安检</w:t>
            </w:r>
          </w:p>
        </w:tc>
      </w:tr>
      <w:tr w14:paraId="03312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363" w:type="dxa"/>
            <w:vMerge w:val="continue"/>
          </w:tcPr>
          <w:p w14:paraId="62DAC693">
            <w:pPr>
              <w:ind w:firstLine="0" w:firstLineChars="0"/>
              <w:rPr>
                <w:rFonts w:hint="eastAsia" w:ascii="方正仿宋_GB2312" w:hAnsi="方正仿宋_GB2312" w:eastAsia="方正仿宋_GB2312" w:cs="方正仿宋_GB2312"/>
                <w:sz w:val="30"/>
                <w:szCs w:val="30"/>
              </w:rPr>
            </w:pPr>
          </w:p>
        </w:tc>
        <w:tc>
          <w:tcPr>
            <w:tcW w:w="6030" w:type="dxa"/>
            <w:gridSpan w:val="3"/>
          </w:tcPr>
          <w:p w14:paraId="32FACD06">
            <w:pPr>
              <w:ind w:firstLine="0" w:firstLineChars="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其他</w:t>
            </w:r>
          </w:p>
        </w:tc>
      </w:tr>
      <w:tr w14:paraId="2579B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2363" w:type="dxa"/>
          </w:tcPr>
          <w:p w14:paraId="2DA16F10">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备案材料清单</w:t>
            </w:r>
          </w:p>
        </w:tc>
        <w:tc>
          <w:tcPr>
            <w:tcW w:w="6030" w:type="dxa"/>
            <w:gridSpan w:val="3"/>
          </w:tcPr>
          <w:p w14:paraId="12263167">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在适用的栏目内打“√”不适用的注明“不适用”</w:t>
            </w:r>
          </w:p>
        </w:tc>
      </w:tr>
      <w:tr w14:paraId="6AC97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2363" w:type="dxa"/>
          </w:tcPr>
          <w:p w14:paraId="396DFA3D">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a.法人资格证明</w:t>
            </w:r>
          </w:p>
        </w:tc>
        <w:tc>
          <w:tcPr>
            <w:tcW w:w="6030" w:type="dxa"/>
            <w:gridSpan w:val="3"/>
          </w:tcPr>
          <w:p w14:paraId="2CC53B1B">
            <w:pPr>
              <w:ind w:firstLine="0" w:firstLineChars="0"/>
              <w:rPr>
                <w:rFonts w:hint="eastAsia" w:ascii="方正仿宋_GB2312" w:hAnsi="方正仿宋_GB2312" w:eastAsia="方正仿宋_GB2312" w:cs="方正仿宋_GB2312"/>
              </w:rPr>
            </w:pPr>
          </w:p>
        </w:tc>
      </w:tr>
      <w:tr w14:paraId="18080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363" w:type="dxa"/>
          </w:tcPr>
          <w:p w14:paraId="5B86222B">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b.危险品培训大纲</w:t>
            </w:r>
          </w:p>
        </w:tc>
        <w:tc>
          <w:tcPr>
            <w:tcW w:w="6030" w:type="dxa"/>
            <w:gridSpan w:val="3"/>
          </w:tcPr>
          <w:p w14:paraId="623742CF">
            <w:pPr>
              <w:ind w:firstLine="0" w:firstLineChars="0"/>
              <w:rPr>
                <w:rFonts w:hint="eastAsia" w:ascii="方正仿宋_GB2312" w:hAnsi="方正仿宋_GB2312" w:eastAsia="方正仿宋_GB2312" w:cs="方正仿宋_GB2312"/>
              </w:rPr>
            </w:pPr>
          </w:p>
        </w:tc>
      </w:tr>
      <w:tr w14:paraId="2F65E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363" w:type="dxa"/>
          </w:tcPr>
          <w:p w14:paraId="0020C49B">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c.培训管理制度</w:t>
            </w:r>
          </w:p>
        </w:tc>
        <w:tc>
          <w:tcPr>
            <w:tcW w:w="6030" w:type="dxa"/>
            <w:gridSpan w:val="3"/>
          </w:tcPr>
          <w:p w14:paraId="3515F5B8">
            <w:pPr>
              <w:ind w:firstLine="0" w:firstLineChars="0"/>
              <w:rPr>
                <w:rFonts w:hint="eastAsia" w:ascii="方正仿宋_GB2312" w:hAnsi="方正仿宋_GB2312" w:eastAsia="方正仿宋_GB2312" w:cs="方正仿宋_GB2312"/>
              </w:rPr>
            </w:pPr>
          </w:p>
        </w:tc>
      </w:tr>
      <w:tr w14:paraId="1A872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2363" w:type="dxa"/>
          </w:tcPr>
          <w:p w14:paraId="2D33B97C">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d.教员详细信息</w:t>
            </w:r>
          </w:p>
        </w:tc>
        <w:tc>
          <w:tcPr>
            <w:tcW w:w="6030" w:type="dxa"/>
            <w:gridSpan w:val="3"/>
          </w:tcPr>
          <w:p w14:paraId="5C9960D5">
            <w:pPr>
              <w:ind w:firstLine="0" w:firstLineChars="0"/>
              <w:rPr>
                <w:rFonts w:hint="eastAsia" w:ascii="方正仿宋_GB2312" w:hAnsi="方正仿宋_GB2312" w:eastAsia="方正仿宋_GB2312" w:cs="方正仿宋_GB2312"/>
              </w:rPr>
            </w:pPr>
          </w:p>
        </w:tc>
      </w:tr>
      <w:tr w14:paraId="0EB79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363" w:type="dxa"/>
          </w:tcPr>
          <w:p w14:paraId="44476556">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e.声明</w:t>
            </w:r>
          </w:p>
        </w:tc>
        <w:tc>
          <w:tcPr>
            <w:tcW w:w="6030" w:type="dxa"/>
            <w:gridSpan w:val="3"/>
          </w:tcPr>
          <w:p w14:paraId="3307A66B">
            <w:pPr>
              <w:ind w:firstLine="0" w:firstLineChars="0"/>
              <w:rPr>
                <w:rFonts w:hint="eastAsia" w:ascii="方正仿宋_GB2312" w:hAnsi="方正仿宋_GB2312" w:eastAsia="方正仿宋_GB2312" w:cs="方正仿宋_GB2312"/>
              </w:rPr>
            </w:pPr>
          </w:p>
        </w:tc>
      </w:tr>
      <w:tr w14:paraId="137A3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1" w:hRule="atLeast"/>
        </w:trPr>
        <w:tc>
          <w:tcPr>
            <w:tcW w:w="8393" w:type="dxa"/>
            <w:gridSpan w:val="4"/>
          </w:tcPr>
          <w:p w14:paraId="2555FE6C">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本机构作如下承诺：</w:t>
            </w:r>
          </w:p>
          <w:p w14:paraId="532CDA9F">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一、备案表所载信息及备案材料完整、真实、合法。</w:t>
            </w:r>
          </w:p>
          <w:p w14:paraId="2D6EFD4C">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二、所提交的危险品培训大纲，符合《中华人民共和国民用航空法》、《民用航空危险品运输管理规定》、《公共航空危险品运输培训管理办法》和国际民航组织《危险物品安全航空运输技术细则》要求。</w:t>
            </w:r>
          </w:p>
          <w:p w14:paraId="338D73DE">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三、经备案后，严格按照相关要求开展培训。</w:t>
            </w:r>
          </w:p>
          <w:p w14:paraId="01517F49">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四、备案信息发生变更或注销的，应在20日内办理备案变更手续。</w:t>
            </w:r>
          </w:p>
          <w:p w14:paraId="219B3A67">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以上如有违反，将承担一切法律责任。</w:t>
            </w:r>
          </w:p>
        </w:tc>
      </w:tr>
      <w:tr w14:paraId="73AD8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8393" w:type="dxa"/>
            <w:gridSpan w:val="4"/>
          </w:tcPr>
          <w:p w14:paraId="5310BD92">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填写说明：</w:t>
            </w:r>
          </w:p>
          <w:p w14:paraId="154D85D2">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1.申请事项，在适用项目的□内打“√”;</w:t>
            </w:r>
          </w:p>
          <w:p w14:paraId="0520C046">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2.备案信息发生变更再次报备的，需在备注栏中说明。</w:t>
            </w:r>
          </w:p>
        </w:tc>
      </w:tr>
      <w:tr w14:paraId="12EFA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393" w:type="dxa"/>
            <w:gridSpan w:val="4"/>
          </w:tcPr>
          <w:p w14:paraId="1CC264FD">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备注：</w:t>
            </w:r>
          </w:p>
        </w:tc>
      </w:tr>
    </w:tbl>
    <w:p w14:paraId="75063528">
      <w:pPr>
        <w:ind w:firstLine="0" w:firstLineChars="0"/>
        <w:rPr>
          <w:rFonts w:hint="eastAsia" w:ascii="方正仿宋_GB2312" w:hAnsi="方正仿宋_GB2312" w:eastAsia="方正仿宋_GB2312" w:cs="方正仿宋_GB2312"/>
        </w:rPr>
      </w:pPr>
    </w:p>
    <w:p w14:paraId="102092E2">
      <w:pPr>
        <w:ind w:firstLine="5100" w:firstLineChars="17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盖章</w:t>
      </w:r>
    </w:p>
    <w:p w14:paraId="32B61F97">
      <w:pPr>
        <w:ind w:firstLine="4800" w:firstLineChars="16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年  月  日</w:t>
      </w:r>
    </w:p>
    <w:p w14:paraId="4BF313D0">
      <w:pPr>
        <w:rPr>
          <w:rFonts w:hint="eastAsia" w:ascii="方正仿宋_GB2312" w:hAnsi="方正仿宋_GB2312" w:eastAsia="方正仿宋_GB2312" w:cs="方正仿宋_GB2312"/>
        </w:rPr>
      </w:pPr>
    </w:p>
    <w:p w14:paraId="22B47CD0">
      <w:pPr>
        <w:rPr>
          <w:rFonts w:hint="eastAsia"/>
        </w:rPr>
      </w:pPr>
    </w:p>
    <w:p w14:paraId="7AD3A364">
      <w:pPr>
        <w:rPr>
          <w:rFonts w:hint="eastAsia"/>
        </w:rPr>
      </w:pPr>
    </w:p>
    <w:p w14:paraId="0A2E7DEB">
      <w:pPr>
        <w:rPr>
          <w:rFonts w:hint="eastAsia"/>
        </w:rPr>
      </w:pPr>
    </w:p>
    <w:p w14:paraId="35D22A36">
      <w:pPr>
        <w:rPr>
          <w:rFonts w:hint="eastAsia"/>
        </w:rPr>
      </w:pPr>
    </w:p>
    <w:p w14:paraId="76DA8BAE">
      <w:pPr>
        <w:rPr>
          <w:rFonts w:hint="eastAsia"/>
        </w:rPr>
      </w:pPr>
    </w:p>
    <w:p w14:paraId="5CCC9EB5">
      <w:pPr>
        <w:rPr>
          <w:rFonts w:hint="eastAsia"/>
        </w:rPr>
      </w:pPr>
    </w:p>
    <w:p w14:paraId="5B69B789">
      <w:pPr>
        <w:rPr>
          <w:rFonts w:hint="eastAsia"/>
        </w:rPr>
      </w:pPr>
    </w:p>
    <w:p w14:paraId="162490B7">
      <w:pPr>
        <w:rPr>
          <w:rFonts w:hint="eastAsia"/>
        </w:rPr>
      </w:pPr>
    </w:p>
    <w:p w14:paraId="3ABF6FD3">
      <w:pPr>
        <w:rPr>
          <w:rFonts w:hint="eastAsia"/>
        </w:rPr>
      </w:pPr>
    </w:p>
    <w:p w14:paraId="4F0F4DAD">
      <w:pPr>
        <w:rPr>
          <w:rFonts w:hint="eastAsia"/>
        </w:rPr>
      </w:pPr>
    </w:p>
    <w:p w14:paraId="4630880A">
      <w:pPr>
        <w:rPr>
          <w:rFonts w:hint="eastAsia"/>
        </w:rPr>
      </w:pPr>
    </w:p>
    <w:p w14:paraId="12B65C20">
      <w:pPr>
        <w:rPr>
          <w:rFonts w:hint="eastAsia"/>
        </w:rPr>
      </w:pPr>
    </w:p>
    <w:p w14:paraId="25C29C5B">
      <w:pPr>
        <w:rPr>
          <w:rFonts w:hint="eastAsia"/>
        </w:rPr>
      </w:pPr>
    </w:p>
    <w:p w14:paraId="2FE2EE9D">
      <w:pPr>
        <w:rPr>
          <w:rFonts w:hint="eastAsia"/>
        </w:rPr>
      </w:pPr>
    </w:p>
    <w:p w14:paraId="11825CA2">
      <w:pPr>
        <w:rPr>
          <w:rFonts w:hint="eastAsia"/>
        </w:rPr>
      </w:pPr>
    </w:p>
    <w:p w14:paraId="0D6CE5DB">
      <w:pPr>
        <w:rPr>
          <w:rFonts w:hint="eastAsia"/>
        </w:rPr>
      </w:pPr>
    </w:p>
    <w:p w14:paraId="34CB22B8">
      <w:pPr>
        <w:rPr>
          <w:rFonts w:hint="eastAsia"/>
        </w:rPr>
      </w:pPr>
    </w:p>
    <w:p w14:paraId="6FB664DE">
      <w:pPr>
        <w:rPr>
          <w:rFonts w:hint="eastAsia"/>
        </w:rPr>
      </w:pPr>
    </w:p>
    <w:p w14:paraId="05929A09">
      <w:pPr>
        <w:ind w:firstLine="0" w:firstLineChars="0"/>
        <w:rPr>
          <w:rFonts w:hint="eastAsia"/>
        </w:rPr>
      </w:pPr>
      <w:bookmarkStart w:id="476" w:name="_Toc29728"/>
      <w:bookmarkStart w:id="477" w:name="_Toc17355"/>
      <w:bookmarkStart w:id="478" w:name="_Toc4153"/>
      <w:bookmarkStart w:id="479" w:name="_Toc4663"/>
      <w:bookmarkStart w:id="480" w:name="_Toc2572"/>
      <w:bookmarkStart w:id="481" w:name="_Toc17565"/>
      <w:bookmarkStart w:id="482" w:name="_Toc21606"/>
      <w:bookmarkStart w:id="483" w:name="_Toc25394"/>
      <w:r>
        <w:rPr>
          <w:rFonts w:hint="eastAsia" w:ascii="黑体" w:eastAsia="黑体" w:cs="黑体"/>
        </w:rPr>
        <w:t>附录</w:t>
      </w:r>
      <w:bookmarkEnd w:id="476"/>
      <w:bookmarkEnd w:id="477"/>
      <w:bookmarkEnd w:id="478"/>
      <w:bookmarkEnd w:id="479"/>
      <w:r>
        <w:rPr>
          <w:rFonts w:hint="eastAsia" w:ascii="黑体" w:eastAsia="黑体" w:cs="黑体"/>
        </w:rPr>
        <w:t xml:space="preserve">5 </w:t>
      </w:r>
      <w:bookmarkStart w:id="484" w:name="_Toc5857"/>
      <w:bookmarkStart w:id="485" w:name="_Toc2518"/>
      <w:bookmarkStart w:id="486" w:name="_Toc7013"/>
      <w:bookmarkStart w:id="487" w:name="_Toc1616"/>
    </w:p>
    <w:p w14:paraId="3229D6AD">
      <w:pPr>
        <w:ind w:firstLine="0" w:firstLineChars="0"/>
        <w:jc w:val="center"/>
        <w:rPr>
          <w:rFonts w:hint="eastAsia" w:ascii="宋体" w:hAnsi="宋体" w:eastAsia="宋体"/>
          <w:b/>
        </w:rPr>
      </w:pPr>
      <w:r>
        <w:rPr>
          <w:rFonts w:hint="eastAsia" w:ascii="宋体" w:hAnsi="宋体" w:eastAsia="宋体" w:cs="黑体"/>
          <w:b/>
        </w:rPr>
        <w:t>教员能力评估申请表</w:t>
      </w:r>
      <w:bookmarkEnd w:id="480"/>
      <w:bookmarkEnd w:id="481"/>
      <w:bookmarkEnd w:id="482"/>
      <w:bookmarkEnd w:id="483"/>
      <w:bookmarkEnd w:id="484"/>
      <w:bookmarkEnd w:id="485"/>
      <w:bookmarkEnd w:id="486"/>
      <w:bookmarkEnd w:id="487"/>
    </w:p>
    <w:tbl>
      <w:tblPr>
        <w:tblStyle w:val="16"/>
        <w:tblW w:w="83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90"/>
        <w:gridCol w:w="1218"/>
        <w:gridCol w:w="1500"/>
        <w:gridCol w:w="2885"/>
      </w:tblGrid>
      <w:tr w14:paraId="3A36B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2790" w:type="dxa"/>
          </w:tcPr>
          <w:p w14:paraId="4D2297D7">
            <w:pPr>
              <w:ind w:firstLine="0" w:firstLineChars="0"/>
              <w:rPr>
                <w:rFonts w:hint="eastAsia" w:ascii="方正仿宋_GB2312" w:hAnsi="方正仿宋_GB2312" w:eastAsia="方正仿宋_GB2312" w:cs="方正仿宋_GB2312"/>
              </w:rPr>
            </w:pPr>
            <w:bookmarkStart w:id="488" w:name="_Toc1837"/>
            <w:bookmarkStart w:id="489" w:name="_Toc29942"/>
            <w:bookmarkStart w:id="490" w:name="_Toc30516"/>
            <w:bookmarkStart w:id="491" w:name="_Toc783"/>
            <w:bookmarkStart w:id="492" w:name="_Toc10851"/>
            <w:bookmarkStart w:id="493" w:name="_Toc10730"/>
            <w:r>
              <w:rPr>
                <w:rFonts w:hint="eastAsia" w:ascii="方正仿宋_GB2312" w:hAnsi="方正仿宋_GB2312" w:eastAsia="方正仿宋_GB2312" w:cs="方正仿宋_GB2312"/>
              </w:rPr>
              <w:t>危险品培训机构名称</w:t>
            </w:r>
          </w:p>
        </w:tc>
        <w:tc>
          <w:tcPr>
            <w:tcW w:w="5603" w:type="dxa"/>
            <w:gridSpan w:val="3"/>
          </w:tcPr>
          <w:p w14:paraId="2752B2E0">
            <w:pPr>
              <w:ind w:firstLine="0" w:firstLineChars="0"/>
              <w:rPr>
                <w:rFonts w:hint="eastAsia" w:ascii="方正仿宋_GB2312" w:hAnsi="方正仿宋_GB2312" w:eastAsia="方正仿宋_GB2312" w:cs="方正仿宋_GB2312"/>
              </w:rPr>
            </w:pPr>
          </w:p>
        </w:tc>
      </w:tr>
      <w:tr w14:paraId="7DD81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790" w:type="dxa"/>
          </w:tcPr>
          <w:p w14:paraId="70EF9A7E">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w:t>
            </w:r>
          </w:p>
        </w:tc>
        <w:tc>
          <w:tcPr>
            <w:tcW w:w="1218" w:type="dxa"/>
          </w:tcPr>
          <w:p w14:paraId="5CBA23FD">
            <w:pPr>
              <w:ind w:firstLine="0" w:firstLineChars="0"/>
              <w:rPr>
                <w:rFonts w:hint="eastAsia" w:ascii="方正仿宋_GB2312" w:hAnsi="方正仿宋_GB2312" w:eastAsia="方正仿宋_GB2312" w:cs="方正仿宋_GB2312"/>
              </w:rPr>
            </w:pPr>
          </w:p>
        </w:tc>
        <w:tc>
          <w:tcPr>
            <w:tcW w:w="1500" w:type="dxa"/>
          </w:tcPr>
          <w:p w14:paraId="3E527BB4">
            <w:pPr>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地  址</w:t>
            </w:r>
          </w:p>
        </w:tc>
        <w:tc>
          <w:tcPr>
            <w:tcW w:w="2885" w:type="dxa"/>
          </w:tcPr>
          <w:p w14:paraId="4F9270B3">
            <w:pPr>
              <w:ind w:firstLine="0" w:firstLineChars="0"/>
              <w:rPr>
                <w:rFonts w:hint="eastAsia" w:ascii="方正仿宋_GB2312" w:hAnsi="方正仿宋_GB2312" w:eastAsia="方正仿宋_GB2312" w:cs="方正仿宋_GB2312"/>
              </w:rPr>
            </w:pPr>
          </w:p>
        </w:tc>
      </w:tr>
      <w:tr w14:paraId="17E28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2790" w:type="dxa"/>
          </w:tcPr>
          <w:p w14:paraId="537E0E82">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联系人</w:t>
            </w:r>
          </w:p>
        </w:tc>
        <w:tc>
          <w:tcPr>
            <w:tcW w:w="1218" w:type="dxa"/>
          </w:tcPr>
          <w:p w14:paraId="3AB3C753">
            <w:pPr>
              <w:ind w:firstLine="0" w:firstLineChars="0"/>
              <w:rPr>
                <w:rFonts w:hint="eastAsia" w:ascii="方正仿宋_GB2312" w:hAnsi="方正仿宋_GB2312" w:eastAsia="方正仿宋_GB2312" w:cs="方正仿宋_GB2312"/>
              </w:rPr>
            </w:pPr>
          </w:p>
        </w:tc>
        <w:tc>
          <w:tcPr>
            <w:tcW w:w="1500" w:type="dxa"/>
          </w:tcPr>
          <w:p w14:paraId="54CD5097">
            <w:pPr>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电  话</w:t>
            </w:r>
          </w:p>
        </w:tc>
        <w:tc>
          <w:tcPr>
            <w:tcW w:w="2885" w:type="dxa"/>
          </w:tcPr>
          <w:p w14:paraId="77AAD86D">
            <w:pPr>
              <w:ind w:firstLine="0" w:firstLineChars="0"/>
              <w:rPr>
                <w:rFonts w:hint="eastAsia" w:ascii="方正仿宋_GB2312" w:hAnsi="方正仿宋_GB2312" w:eastAsia="方正仿宋_GB2312" w:cs="方正仿宋_GB2312"/>
              </w:rPr>
            </w:pPr>
          </w:p>
        </w:tc>
      </w:tr>
      <w:tr w14:paraId="32007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2790" w:type="dxa"/>
          </w:tcPr>
          <w:p w14:paraId="46CC54BE">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传   真</w:t>
            </w:r>
          </w:p>
        </w:tc>
        <w:tc>
          <w:tcPr>
            <w:tcW w:w="1218" w:type="dxa"/>
          </w:tcPr>
          <w:p w14:paraId="1D9C93BA">
            <w:pPr>
              <w:ind w:firstLine="0" w:firstLineChars="0"/>
              <w:rPr>
                <w:rFonts w:hint="eastAsia" w:ascii="方正仿宋_GB2312" w:hAnsi="方正仿宋_GB2312" w:eastAsia="方正仿宋_GB2312" w:cs="方正仿宋_GB2312"/>
              </w:rPr>
            </w:pPr>
          </w:p>
        </w:tc>
        <w:tc>
          <w:tcPr>
            <w:tcW w:w="1500" w:type="dxa"/>
          </w:tcPr>
          <w:p w14:paraId="33A8F2D5">
            <w:pPr>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邮政编码</w:t>
            </w:r>
          </w:p>
        </w:tc>
        <w:tc>
          <w:tcPr>
            <w:tcW w:w="2885" w:type="dxa"/>
          </w:tcPr>
          <w:p w14:paraId="31C3AA2E">
            <w:pPr>
              <w:ind w:firstLine="0" w:firstLineChars="0"/>
              <w:rPr>
                <w:rFonts w:hint="eastAsia" w:ascii="方正仿宋_GB2312" w:hAnsi="方正仿宋_GB2312" w:eastAsia="方正仿宋_GB2312" w:cs="方正仿宋_GB2312"/>
              </w:rPr>
            </w:pPr>
          </w:p>
        </w:tc>
      </w:tr>
      <w:tr w14:paraId="2835B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790" w:type="dxa"/>
            <w:vMerge w:val="restart"/>
            <w:vAlign w:val="center"/>
          </w:tcPr>
          <w:p w14:paraId="62D6AAB3">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申请评估人员 </w:t>
            </w:r>
          </w:p>
        </w:tc>
        <w:tc>
          <w:tcPr>
            <w:tcW w:w="1218" w:type="dxa"/>
          </w:tcPr>
          <w:p w14:paraId="68034FFC">
            <w:pPr>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姓  名</w:t>
            </w:r>
          </w:p>
        </w:tc>
        <w:tc>
          <w:tcPr>
            <w:tcW w:w="1500" w:type="dxa"/>
          </w:tcPr>
          <w:p w14:paraId="7D486BDE">
            <w:pPr>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教员类别</w:t>
            </w:r>
          </w:p>
        </w:tc>
        <w:tc>
          <w:tcPr>
            <w:tcW w:w="2885" w:type="dxa"/>
          </w:tcPr>
          <w:p w14:paraId="73AFBFBE">
            <w:pPr>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授课范围</w:t>
            </w:r>
          </w:p>
        </w:tc>
      </w:tr>
      <w:tr w14:paraId="3429E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790" w:type="dxa"/>
            <w:vMerge w:val="continue"/>
          </w:tcPr>
          <w:p w14:paraId="442787C4">
            <w:pPr>
              <w:ind w:firstLine="0" w:firstLineChars="0"/>
              <w:rPr>
                <w:rFonts w:hint="eastAsia" w:ascii="方正仿宋_GB2312" w:hAnsi="方正仿宋_GB2312" w:eastAsia="方正仿宋_GB2312" w:cs="方正仿宋_GB2312"/>
              </w:rPr>
            </w:pPr>
          </w:p>
        </w:tc>
        <w:tc>
          <w:tcPr>
            <w:tcW w:w="1218" w:type="dxa"/>
          </w:tcPr>
          <w:p w14:paraId="210487DC">
            <w:pPr>
              <w:ind w:firstLine="0" w:firstLineChars="0"/>
              <w:rPr>
                <w:rFonts w:hint="eastAsia" w:ascii="方正仿宋_GB2312" w:hAnsi="方正仿宋_GB2312" w:eastAsia="方正仿宋_GB2312" w:cs="方正仿宋_GB2312"/>
              </w:rPr>
            </w:pPr>
          </w:p>
        </w:tc>
        <w:tc>
          <w:tcPr>
            <w:tcW w:w="1500" w:type="dxa"/>
          </w:tcPr>
          <w:p w14:paraId="1752F3A1">
            <w:pPr>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A □ B □</w:t>
            </w:r>
          </w:p>
        </w:tc>
        <w:tc>
          <w:tcPr>
            <w:tcW w:w="2885" w:type="dxa"/>
          </w:tcPr>
          <w:p w14:paraId="43252FC6">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（填危险品职责编号）</w:t>
            </w:r>
          </w:p>
        </w:tc>
      </w:tr>
      <w:tr w14:paraId="0D41A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790" w:type="dxa"/>
            <w:vMerge w:val="restart"/>
            <w:tcBorders>
              <w:top w:val="nil"/>
            </w:tcBorders>
          </w:tcPr>
          <w:p w14:paraId="66AC364D">
            <w:pPr>
              <w:ind w:firstLine="0" w:firstLineChars="0"/>
              <w:rPr>
                <w:rFonts w:hint="eastAsia" w:ascii="方正仿宋_GB2312" w:hAnsi="方正仿宋_GB2312" w:eastAsia="方正仿宋_GB2312" w:cs="方正仿宋_GB2312"/>
              </w:rPr>
            </w:pPr>
          </w:p>
          <w:p w14:paraId="51D50F8E">
            <w:pPr>
              <w:ind w:firstLine="0" w:firstLineChars="0"/>
              <w:rPr>
                <w:rFonts w:hint="eastAsia" w:ascii="方正仿宋_GB2312" w:hAnsi="方正仿宋_GB2312" w:eastAsia="方正仿宋_GB2312" w:cs="方正仿宋_GB2312"/>
              </w:rPr>
            </w:pPr>
          </w:p>
          <w:p w14:paraId="0E1446E8">
            <w:pPr>
              <w:ind w:firstLine="0" w:firstLineChars="0"/>
              <w:rPr>
                <w:rFonts w:hint="eastAsia" w:ascii="方正仿宋_GB2312" w:hAnsi="方正仿宋_GB2312" w:eastAsia="方正仿宋_GB2312" w:cs="方正仿宋_GB2312"/>
              </w:rPr>
            </w:pPr>
          </w:p>
          <w:p w14:paraId="4DAFA5C0">
            <w:pPr>
              <w:ind w:firstLine="0" w:firstLineChars="0"/>
              <w:rPr>
                <w:rFonts w:hint="eastAsia" w:ascii="方正仿宋_GB2312" w:hAnsi="方正仿宋_GB2312" w:eastAsia="方正仿宋_GB2312" w:cs="方正仿宋_GB2312"/>
              </w:rPr>
            </w:pPr>
          </w:p>
          <w:p w14:paraId="210670F1">
            <w:pPr>
              <w:ind w:firstLine="0" w:firstLineChars="0"/>
              <w:rPr>
                <w:rFonts w:hint="eastAsia" w:ascii="方正仿宋_GB2312" w:hAnsi="方正仿宋_GB2312" w:eastAsia="方正仿宋_GB2312" w:cs="方正仿宋_GB2312"/>
              </w:rPr>
            </w:pPr>
          </w:p>
          <w:p w14:paraId="4CFECD07">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机构授课范围和</w:t>
            </w:r>
          </w:p>
          <w:p w14:paraId="0B323E81">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危险品通用职责 </w:t>
            </w:r>
          </w:p>
        </w:tc>
        <w:tc>
          <w:tcPr>
            <w:tcW w:w="5603" w:type="dxa"/>
            <w:gridSpan w:val="3"/>
          </w:tcPr>
          <w:p w14:paraId="6615352C">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1.负责准备托运的危险品货物</w:t>
            </w:r>
          </w:p>
        </w:tc>
      </w:tr>
      <w:tr w14:paraId="6C1F0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790" w:type="dxa"/>
            <w:vMerge w:val="continue"/>
          </w:tcPr>
          <w:p w14:paraId="776FAE3F">
            <w:pPr>
              <w:ind w:firstLine="0" w:firstLineChars="0"/>
              <w:rPr>
                <w:rFonts w:hint="eastAsia" w:ascii="方正仿宋_GB2312" w:hAnsi="方正仿宋_GB2312" w:eastAsia="方正仿宋_GB2312" w:cs="方正仿宋_GB2312"/>
              </w:rPr>
            </w:pPr>
          </w:p>
        </w:tc>
        <w:tc>
          <w:tcPr>
            <w:tcW w:w="5603" w:type="dxa"/>
            <w:gridSpan w:val="3"/>
          </w:tcPr>
          <w:p w14:paraId="739C1BFD">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2.负责办理或接收交运的普通货物（非危险品）</w:t>
            </w:r>
          </w:p>
        </w:tc>
      </w:tr>
      <w:tr w14:paraId="227E6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790" w:type="dxa"/>
            <w:vMerge w:val="continue"/>
          </w:tcPr>
          <w:p w14:paraId="39530043">
            <w:pPr>
              <w:ind w:firstLine="0" w:firstLineChars="0"/>
              <w:rPr>
                <w:rFonts w:hint="eastAsia" w:ascii="方正仿宋_GB2312" w:hAnsi="方正仿宋_GB2312" w:eastAsia="方正仿宋_GB2312" w:cs="方正仿宋_GB2312"/>
              </w:rPr>
            </w:pPr>
          </w:p>
        </w:tc>
        <w:tc>
          <w:tcPr>
            <w:tcW w:w="5603" w:type="dxa"/>
            <w:gridSpan w:val="3"/>
          </w:tcPr>
          <w:p w14:paraId="36B87D9B">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3.负责办理或接收托运的危险品货物</w:t>
            </w:r>
          </w:p>
        </w:tc>
      </w:tr>
      <w:tr w14:paraId="644D7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790" w:type="dxa"/>
            <w:vMerge w:val="continue"/>
          </w:tcPr>
          <w:p w14:paraId="3850FD30">
            <w:pPr>
              <w:ind w:firstLine="0" w:firstLineChars="0"/>
              <w:rPr>
                <w:rFonts w:hint="eastAsia" w:ascii="方正仿宋_GB2312" w:hAnsi="方正仿宋_GB2312" w:eastAsia="方正仿宋_GB2312" w:cs="方正仿宋_GB2312"/>
              </w:rPr>
            </w:pPr>
          </w:p>
        </w:tc>
        <w:tc>
          <w:tcPr>
            <w:tcW w:w="5603" w:type="dxa"/>
            <w:gridSpan w:val="3"/>
          </w:tcPr>
          <w:p w14:paraId="1F2D2A79">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4.负责处理仓库货物、装载和卸载集装器以及装载和卸载飞机货舱</w:t>
            </w:r>
          </w:p>
        </w:tc>
      </w:tr>
      <w:tr w14:paraId="31983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790" w:type="dxa"/>
            <w:vMerge w:val="continue"/>
          </w:tcPr>
          <w:p w14:paraId="2D8296E5">
            <w:pPr>
              <w:ind w:firstLine="0" w:firstLineChars="0"/>
              <w:rPr>
                <w:rFonts w:hint="eastAsia" w:ascii="方正仿宋_GB2312" w:hAnsi="方正仿宋_GB2312" w:eastAsia="方正仿宋_GB2312" w:cs="方正仿宋_GB2312"/>
              </w:rPr>
            </w:pPr>
          </w:p>
        </w:tc>
        <w:tc>
          <w:tcPr>
            <w:tcW w:w="5603" w:type="dxa"/>
            <w:gridSpan w:val="3"/>
          </w:tcPr>
          <w:p w14:paraId="480426BB">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5.负责接收旅客和机组行李、管理航空器登机口、及其他机场内旅客服务人员</w:t>
            </w:r>
          </w:p>
        </w:tc>
      </w:tr>
      <w:tr w14:paraId="3132B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790" w:type="dxa"/>
            <w:vMerge w:val="continue"/>
          </w:tcPr>
          <w:p w14:paraId="2A690493">
            <w:pPr>
              <w:ind w:firstLine="0" w:firstLineChars="0"/>
              <w:rPr>
                <w:rFonts w:hint="eastAsia" w:ascii="方正仿宋_GB2312" w:hAnsi="方正仿宋_GB2312" w:eastAsia="方正仿宋_GB2312" w:cs="方正仿宋_GB2312"/>
              </w:rPr>
            </w:pPr>
          </w:p>
        </w:tc>
        <w:tc>
          <w:tcPr>
            <w:tcW w:w="5603" w:type="dxa"/>
            <w:gridSpan w:val="3"/>
          </w:tcPr>
          <w:p w14:paraId="4D9EEA33">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6.负责航空器装载计划</w:t>
            </w:r>
          </w:p>
        </w:tc>
      </w:tr>
      <w:tr w14:paraId="558DE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790" w:type="dxa"/>
            <w:vMerge w:val="continue"/>
          </w:tcPr>
          <w:p w14:paraId="76EA1344">
            <w:pPr>
              <w:ind w:firstLine="0" w:firstLineChars="0"/>
              <w:rPr>
                <w:rFonts w:hint="eastAsia" w:ascii="方正仿宋_GB2312" w:hAnsi="方正仿宋_GB2312" w:eastAsia="方正仿宋_GB2312" w:cs="方正仿宋_GB2312"/>
              </w:rPr>
            </w:pPr>
          </w:p>
        </w:tc>
        <w:tc>
          <w:tcPr>
            <w:tcW w:w="5603" w:type="dxa"/>
            <w:gridSpan w:val="3"/>
          </w:tcPr>
          <w:p w14:paraId="3CCD929C">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7.飞行机组</w:t>
            </w:r>
          </w:p>
        </w:tc>
      </w:tr>
      <w:tr w14:paraId="27B4B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790" w:type="dxa"/>
            <w:vMerge w:val="continue"/>
          </w:tcPr>
          <w:p w14:paraId="55272A9F">
            <w:pPr>
              <w:ind w:firstLine="0" w:firstLineChars="0"/>
              <w:rPr>
                <w:rFonts w:hint="eastAsia" w:ascii="方正仿宋_GB2312" w:hAnsi="方正仿宋_GB2312" w:eastAsia="方正仿宋_GB2312" w:cs="方正仿宋_GB2312"/>
              </w:rPr>
            </w:pPr>
          </w:p>
        </w:tc>
        <w:tc>
          <w:tcPr>
            <w:tcW w:w="5603" w:type="dxa"/>
            <w:gridSpan w:val="3"/>
          </w:tcPr>
          <w:p w14:paraId="0596B059">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8.飞行运行和飞行签派</w:t>
            </w:r>
          </w:p>
        </w:tc>
      </w:tr>
      <w:tr w14:paraId="081DF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790" w:type="dxa"/>
            <w:vMerge w:val="continue"/>
          </w:tcPr>
          <w:p w14:paraId="15B84AB4">
            <w:pPr>
              <w:ind w:firstLine="0" w:firstLineChars="0"/>
              <w:rPr>
                <w:rFonts w:hint="eastAsia" w:ascii="方正仿宋_GB2312" w:hAnsi="方正仿宋_GB2312" w:eastAsia="方正仿宋_GB2312" w:cs="方正仿宋_GB2312"/>
              </w:rPr>
            </w:pPr>
          </w:p>
        </w:tc>
        <w:tc>
          <w:tcPr>
            <w:tcW w:w="5603" w:type="dxa"/>
            <w:gridSpan w:val="3"/>
          </w:tcPr>
          <w:p w14:paraId="0B631B18">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9.客舱机组</w:t>
            </w:r>
          </w:p>
        </w:tc>
      </w:tr>
      <w:tr w14:paraId="6192D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790" w:type="dxa"/>
            <w:vMerge w:val="continue"/>
          </w:tcPr>
          <w:p w14:paraId="6999C981">
            <w:pPr>
              <w:ind w:firstLine="0" w:firstLineChars="0"/>
              <w:rPr>
                <w:rFonts w:hint="eastAsia" w:ascii="方正仿宋_GB2312" w:hAnsi="方正仿宋_GB2312" w:eastAsia="方正仿宋_GB2312" w:cs="方正仿宋_GB2312"/>
              </w:rPr>
            </w:pPr>
          </w:p>
        </w:tc>
        <w:tc>
          <w:tcPr>
            <w:tcW w:w="5603" w:type="dxa"/>
            <w:gridSpan w:val="3"/>
          </w:tcPr>
          <w:p w14:paraId="4B54345C">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10.负责旅客和机组及其行李、货物和邮件安检</w:t>
            </w:r>
          </w:p>
        </w:tc>
      </w:tr>
      <w:tr w14:paraId="39C7D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790" w:type="dxa"/>
            <w:vMerge w:val="continue"/>
          </w:tcPr>
          <w:p w14:paraId="578E8992">
            <w:pPr>
              <w:ind w:firstLine="0" w:firstLineChars="0"/>
              <w:rPr>
                <w:rFonts w:hint="eastAsia" w:ascii="方正仿宋_GB2312" w:hAnsi="方正仿宋_GB2312" w:eastAsia="方正仿宋_GB2312" w:cs="方正仿宋_GB2312"/>
              </w:rPr>
            </w:pPr>
          </w:p>
        </w:tc>
        <w:tc>
          <w:tcPr>
            <w:tcW w:w="5603" w:type="dxa"/>
            <w:gridSpan w:val="3"/>
          </w:tcPr>
          <w:p w14:paraId="4FB67B04">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其他</w:t>
            </w:r>
          </w:p>
        </w:tc>
      </w:tr>
      <w:tr w14:paraId="43B3A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2790" w:type="dxa"/>
          </w:tcPr>
          <w:p w14:paraId="0BD172A9">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备案材料清单</w:t>
            </w:r>
          </w:p>
        </w:tc>
        <w:tc>
          <w:tcPr>
            <w:tcW w:w="5603" w:type="dxa"/>
            <w:gridSpan w:val="3"/>
          </w:tcPr>
          <w:p w14:paraId="588E5123">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在适用的栏目内打“√”，不适用的注明“不适用”</w:t>
            </w:r>
          </w:p>
        </w:tc>
      </w:tr>
      <w:tr w14:paraId="4BB74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2790" w:type="dxa"/>
          </w:tcPr>
          <w:p w14:paraId="5E1C7A85">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a.从业经历证明 </w:t>
            </w:r>
          </w:p>
        </w:tc>
        <w:tc>
          <w:tcPr>
            <w:tcW w:w="5603" w:type="dxa"/>
            <w:gridSpan w:val="3"/>
          </w:tcPr>
          <w:p w14:paraId="4EDC3D64">
            <w:pPr>
              <w:ind w:firstLine="0" w:firstLineChars="0"/>
              <w:rPr>
                <w:rFonts w:hint="eastAsia" w:ascii="方正仿宋_GB2312" w:hAnsi="方正仿宋_GB2312" w:eastAsia="方正仿宋_GB2312" w:cs="方正仿宋_GB2312"/>
              </w:rPr>
            </w:pPr>
          </w:p>
        </w:tc>
      </w:tr>
      <w:tr w14:paraId="15828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90" w:type="dxa"/>
          </w:tcPr>
          <w:p w14:paraId="339C01C8">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b.参训记录</w:t>
            </w:r>
          </w:p>
        </w:tc>
        <w:tc>
          <w:tcPr>
            <w:tcW w:w="5603" w:type="dxa"/>
            <w:gridSpan w:val="3"/>
          </w:tcPr>
          <w:p w14:paraId="4C4F1C27">
            <w:pPr>
              <w:ind w:firstLine="0" w:firstLineChars="0"/>
              <w:rPr>
                <w:rFonts w:hint="eastAsia" w:ascii="方正仿宋_GB2312" w:hAnsi="方正仿宋_GB2312" w:eastAsia="方正仿宋_GB2312" w:cs="方正仿宋_GB2312"/>
              </w:rPr>
            </w:pPr>
          </w:p>
        </w:tc>
      </w:tr>
      <w:tr w14:paraId="74343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90" w:type="dxa"/>
          </w:tcPr>
          <w:p w14:paraId="5401DEDE">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c.相关岗位的实习经历或实操培训证明</w:t>
            </w:r>
          </w:p>
        </w:tc>
        <w:tc>
          <w:tcPr>
            <w:tcW w:w="5603" w:type="dxa"/>
            <w:gridSpan w:val="3"/>
          </w:tcPr>
          <w:p w14:paraId="73E4769B">
            <w:pPr>
              <w:ind w:firstLine="0" w:firstLineChars="0"/>
              <w:rPr>
                <w:rFonts w:hint="eastAsia" w:ascii="方正仿宋_GB2312" w:hAnsi="方正仿宋_GB2312" w:eastAsia="方正仿宋_GB2312" w:cs="方正仿宋_GB2312"/>
              </w:rPr>
            </w:pPr>
          </w:p>
        </w:tc>
      </w:tr>
      <w:tr w14:paraId="140E2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2790" w:type="dxa"/>
          </w:tcPr>
          <w:p w14:paraId="1D8A2122">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d.隶属关系证明</w:t>
            </w:r>
          </w:p>
        </w:tc>
        <w:tc>
          <w:tcPr>
            <w:tcW w:w="5603" w:type="dxa"/>
            <w:gridSpan w:val="3"/>
          </w:tcPr>
          <w:p w14:paraId="3523EF6C">
            <w:pPr>
              <w:ind w:firstLine="0" w:firstLineChars="0"/>
              <w:rPr>
                <w:rFonts w:hint="eastAsia" w:ascii="方正仿宋_GB2312" w:hAnsi="方正仿宋_GB2312" w:eastAsia="方正仿宋_GB2312" w:cs="方正仿宋_GB2312"/>
              </w:rPr>
            </w:pPr>
          </w:p>
        </w:tc>
      </w:tr>
      <w:tr w14:paraId="29E7E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790" w:type="dxa"/>
          </w:tcPr>
          <w:p w14:paraId="63B2E577">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e.从事危险品教学连续5年以上证明</w:t>
            </w:r>
          </w:p>
        </w:tc>
        <w:tc>
          <w:tcPr>
            <w:tcW w:w="5603" w:type="dxa"/>
            <w:gridSpan w:val="3"/>
          </w:tcPr>
          <w:p w14:paraId="574AFE25">
            <w:pPr>
              <w:ind w:firstLine="0" w:firstLineChars="0"/>
              <w:rPr>
                <w:rFonts w:hint="eastAsia" w:ascii="方正仿宋_GB2312" w:hAnsi="方正仿宋_GB2312" w:eastAsia="方正仿宋_GB2312" w:cs="方正仿宋_GB2312"/>
              </w:rPr>
            </w:pPr>
          </w:p>
        </w:tc>
      </w:tr>
      <w:tr w14:paraId="1FCCC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1" w:hRule="atLeast"/>
        </w:trPr>
        <w:tc>
          <w:tcPr>
            <w:tcW w:w="8393" w:type="dxa"/>
            <w:gridSpan w:val="4"/>
          </w:tcPr>
          <w:p w14:paraId="0950C99B">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机构作如下承诺：</w:t>
            </w:r>
          </w:p>
          <w:p w14:paraId="4EB7913E">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一、申请表所载信息及申请材料完整、真实、合法。</w:t>
            </w:r>
          </w:p>
          <w:p w14:paraId="5FDF6DBC">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二、所提交的材料，符合《中华人民共和国民用航空法》、《民用航空危险品运输管理规定》、《公共航空危险品运输培训管理办法》和国际民航组织《危险物品安全航空运输技术细则》要求。</w:t>
            </w:r>
          </w:p>
          <w:p w14:paraId="2EEC2037">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以上如有违反，将承担一切法律责任。</w:t>
            </w:r>
          </w:p>
        </w:tc>
      </w:tr>
      <w:tr w14:paraId="6929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393" w:type="dxa"/>
            <w:gridSpan w:val="4"/>
          </w:tcPr>
          <w:p w14:paraId="06DBC412">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备注：</w:t>
            </w:r>
          </w:p>
        </w:tc>
      </w:tr>
    </w:tbl>
    <w:p w14:paraId="1E6BBAAF">
      <w:pPr>
        <w:ind w:firstLine="0" w:firstLineChars="0"/>
        <w:rPr>
          <w:rFonts w:hint="eastAsia" w:ascii="方正仿宋_GB2312" w:hAnsi="方正仿宋_GB2312" w:eastAsia="方正仿宋_GB2312" w:cs="方正仿宋_GB2312"/>
        </w:rPr>
      </w:pPr>
    </w:p>
    <w:p w14:paraId="355B7B18">
      <w:pPr>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                                              盖章</w:t>
      </w:r>
    </w:p>
    <w:p w14:paraId="4DE8EC37">
      <w:pPr>
        <w:ind w:firstLine="6600" w:firstLineChars="2200"/>
        <w:rPr>
          <w:rFonts w:hint="eastAsia" w:ascii="黑体" w:eastAsia="黑体" w:cs="黑体"/>
        </w:rPr>
      </w:pPr>
      <w:r>
        <w:rPr>
          <w:rFonts w:hint="eastAsia" w:ascii="方正仿宋_GB2312" w:hAnsi="方正仿宋_GB2312" w:eastAsia="方正仿宋_GB2312" w:cs="方正仿宋_GB2312"/>
        </w:rPr>
        <w:t>年  月  日</w:t>
      </w:r>
    </w:p>
    <w:p w14:paraId="568A79DC">
      <w:pPr>
        <w:ind w:firstLine="0" w:firstLineChars="0"/>
        <w:rPr>
          <w:rFonts w:hint="eastAsia" w:ascii="黑体" w:eastAsia="黑体" w:cs="黑体"/>
        </w:rPr>
      </w:pPr>
    </w:p>
    <w:bookmarkEnd w:id="488"/>
    <w:bookmarkEnd w:id="489"/>
    <w:bookmarkEnd w:id="490"/>
    <w:bookmarkEnd w:id="491"/>
    <w:bookmarkEnd w:id="492"/>
    <w:bookmarkEnd w:id="493"/>
    <w:p w14:paraId="490E0E74">
      <w:pPr>
        <w:ind w:firstLine="0" w:firstLineChars="0"/>
        <w:rPr>
          <w:rFonts w:hint="eastAsia" w:ascii="宋体" w:hAnsi="宋体" w:eastAsia="宋体" w:cs="宋体"/>
          <w:sz w:val="24"/>
          <w:szCs w:val="24"/>
        </w:rPr>
      </w:pPr>
    </w:p>
    <w:sectPr>
      <w:headerReference r:id="rId11" w:type="default"/>
      <w:footerReference r:id="rId12"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40756C9-973A-408D-970F-7551A14F365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0671B73-D93D-44F1-9CC2-5B14622E937D}"/>
  </w:font>
  <w:font w:name="仿宋_GB2312">
    <w:panose1 w:val="02010609030101010101"/>
    <w:charset w:val="86"/>
    <w:family w:val="modern"/>
    <w:pitch w:val="default"/>
    <w:sig w:usb0="00000001" w:usb1="080E0000" w:usb2="00000000" w:usb3="00000000" w:csb0="00040000" w:csb1="00000000"/>
    <w:embedRegular r:id="rId3" w:fontKey="{731229DE-A8D1-49A8-877A-B4892E1350CA}"/>
  </w:font>
  <w:font w:name="仿宋">
    <w:panose1 w:val="02010609060101010101"/>
    <w:charset w:val="86"/>
    <w:family w:val="modern"/>
    <w:pitch w:val="default"/>
    <w:sig w:usb0="800002BF" w:usb1="38CF7CFA" w:usb2="00000016" w:usb3="00000000" w:csb0="00040001" w:csb1="00000000"/>
    <w:embedRegular r:id="rId4" w:fontKey="{538DF197-95FD-4D07-BA87-4B6B39BA2D75}"/>
  </w:font>
  <w:font w:name="Calibri Light">
    <w:panose1 w:val="020F03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5" w:fontKey="{0440CF60-0866-4E05-B062-3A34E9DA0D0C}"/>
  </w:font>
  <w:font w:name="方正仿宋_GB2312">
    <w:altName w:val="微软雅黑"/>
    <w:panose1 w:val="00000000000000000000"/>
    <w:charset w:val="86"/>
    <w:family w:val="auto"/>
    <w:pitch w:val="default"/>
    <w:sig w:usb0="00000000" w:usb1="00000000" w:usb2="00000012" w:usb3="00000000" w:csb0="00040001" w:csb1="00000000"/>
    <w:embedRegular r:id="rId6" w:fontKey="{E8D547B4-1AD0-44E9-9952-2FFFDD5FED2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9A4EE">
    <w:pPr>
      <w:pStyle w:val="5"/>
      <w:ind w:left="1260"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6A584">
    <w:pPr>
      <w:pStyle w:val="5"/>
      <w:framePr w:wrap="around" w:vAnchor="text" w:hAnchor="margin" w:xAlign="center" w:y="1"/>
      <w:ind w:left="1260" w:firstLine="440"/>
      <w:rPr>
        <w:rStyle w:val="13"/>
        <w:rFonts w:hint="eastAsia"/>
      </w:rPr>
    </w:pPr>
    <w:r>
      <w:rPr>
        <w:rStyle w:val="13"/>
      </w:rPr>
      <w:fldChar w:fldCharType="begin"/>
    </w:r>
    <w:r>
      <w:rPr>
        <w:rStyle w:val="13"/>
      </w:rPr>
      <w:instrText xml:space="preserve">PAGE  </w:instrText>
    </w:r>
    <w:r>
      <w:rPr>
        <w:rStyle w:val="13"/>
      </w:rPr>
      <w:fldChar w:fldCharType="end"/>
    </w:r>
  </w:p>
  <w:p w14:paraId="63FB2A6A">
    <w:pPr>
      <w:pStyle w:val="5"/>
      <w:ind w:left="1260" w:right="360"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BE5B0">
    <w:pPr>
      <w:pStyle w:val="5"/>
      <w:ind w:left="1260" w:firstLine="360"/>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9542C">
    <w:pP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0"/>
      </w:pPr>
      <w:r>
        <w:separator/>
      </w:r>
    </w:p>
  </w:footnote>
  <w:footnote w:type="continuationSeparator" w:id="1">
    <w:p>
      <w:pPr>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E0E31">
    <w:pPr>
      <w:pStyle w:val="27"/>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ECF53">
    <w:pPr>
      <w:pStyle w:val="6"/>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2D7C3">
    <w:pPr>
      <w:pStyle w:val="6"/>
      <w:ind w:firstLine="36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E6172">
    <w:pPr>
      <w:pStyle w:val="27"/>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3CEB6"/>
    <w:multiLevelType w:val="singleLevel"/>
    <w:tmpl w:val="8CC3CEB6"/>
    <w:lvl w:ilvl="0" w:tentative="0">
      <w:start w:val="1"/>
      <w:numFmt w:val="chineseCounting"/>
      <w:suff w:val="nothing"/>
      <w:lvlText w:val="（%1）"/>
      <w:lvlJc w:val="left"/>
      <w:pPr>
        <w:ind w:left="-390"/>
      </w:pPr>
      <w:rPr>
        <w:rFonts w:hint="eastAsia"/>
      </w:rPr>
    </w:lvl>
  </w:abstractNum>
  <w:abstractNum w:abstractNumId="1">
    <w:nsid w:val="9F7AACB9"/>
    <w:multiLevelType w:val="singleLevel"/>
    <w:tmpl w:val="9F7AACB9"/>
    <w:lvl w:ilvl="0" w:tentative="0">
      <w:start w:val="1"/>
      <w:numFmt w:val="chineseCounting"/>
      <w:suff w:val="space"/>
      <w:lvlText w:val="第%1章"/>
      <w:lvlJc w:val="left"/>
      <w:rPr>
        <w:rFonts w:hint="eastAsia" w:ascii="黑体" w:hAnsi="黑体" w:eastAsia="黑体" w:cs="黑体"/>
        <w:b w:val="0"/>
        <w:bCs w:val="0"/>
        <w:color w:val="auto"/>
        <w:sz w:val="30"/>
        <w:szCs w:val="30"/>
      </w:rPr>
    </w:lvl>
  </w:abstractNum>
  <w:abstractNum w:abstractNumId="2">
    <w:nsid w:val="09020EF8"/>
    <w:multiLevelType w:val="singleLevel"/>
    <w:tmpl w:val="09020EF8"/>
    <w:lvl w:ilvl="0" w:tentative="0">
      <w:start w:val="1"/>
      <w:numFmt w:val="chineseCounting"/>
      <w:suff w:val="nothing"/>
      <w:lvlText w:val="（%1）"/>
      <w:lvlJc w:val="left"/>
      <w:pPr>
        <w:ind w:left="2977"/>
      </w:pPr>
      <w:rPr>
        <w:rFonts w:hint="eastAsia"/>
      </w:rPr>
    </w:lvl>
  </w:abstractNum>
  <w:abstractNum w:abstractNumId="3">
    <w:nsid w:val="1B81D968"/>
    <w:multiLevelType w:val="singleLevel"/>
    <w:tmpl w:val="1B81D968"/>
    <w:lvl w:ilvl="0" w:tentative="0">
      <w:start w:val="1"/>
      <w:numFmt w:val="decimal"/>
      <w:suff w:val="nothing"/>
      <w:lvlText w:val="（%1）"/>
      <w:lvlJc w:val="left"/>
      <w:pPr>
        <w:ind w:left="-420"/>
      </w:pPr>
    </w:lvl>
  </w:abstractNum>
  <w:abstractNum w:abstractNumId="4">
    <w:nsid w:val="47F33B7B"/>
    <w:multiLevelType w:val="singleLevel"/>
    <w:tmpl w:val="47F33B7B"/>
    <w:lvl w:ilvl="0" w:tentative="0">
      <w:start w:val="1"/>
      <w:numFmt w:val="chineseCounting"/>
      <w:suff w:val="nothing"/>
      <w:lvlText w:val="（%1）"/>
      <w:lvlJc w:val="left"/>
      <w:pPr>
        <w:ind w:left="-390"/>
      </w:pPr>
      <w:rPr>
        <w:rFonts w:hint="eastAsia"/>
        <w:color w:val="auto"/>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numFmt w:val="decimal"/>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1YzlkMzkwNDMwNjI3YzllOTNlZmUyMGJjMDRlYzkifQ=="/>
  </w:docVars>
  <w:rsids>
    <w:rsidRoot w:val="028364EB"/>
    <w:rsid w:val="000067F5"/>
    <w:rsid w:val="00015174"/>
    <w:rsid w:val="0001561F"/>
    <w:rsid w:val="00031448"/>
    <w:rsid w:val="00040A8C"/>
    <w:rsid w:val="00040CAF"/>
    <w:rsid w:val="00057B03"/>
    <w:rsid w:val="000618D6"/>
    <w:rsid w:val="000B42B0"/>
    <w:rsid w:val="000B5073"/>
    <w:rsid w:val="000B6EE6"/>
    <w:rsid w:val="000D4987"/>
    <w:rsid w:val="000D68B6"/>
    <w:rsid w:val="000F143A"/>
    <w:rsid w:val="000F2642"/>
    <w:rsid w:val="00100F12"/>
    <w:rsid w:val="00111377"/>
    <w:rsid w:val="001123F7"/>
    <w:rsid w:val="00112CAE"/>
    <w:rsid w:val="00113F8C"/>
    <w:rsid w:val="00115CE0"/>
    <w:rsid w:val="00117B20"/>
    <w:rsid w:val="00126FB2"/>
    <w:rsid w:val="00136346"/>
    <w:rsid w:val="00144AB8"/>
    <w:rsid w:val="00161633"/>
    <w:rsid w:val="00170823"/>
    <w:rsid w:val="001751DF"/>
    <w:rsid w:val="00180B5E"/>
    <w:rsid w:val="00183B8C"/>
    <w:rsid w:val="001B75E2"/>
    <w:rsid w:val="001C5301"/>
    <w:rsid w:val="001D1F61"/>
    <w:rsid w:val="001D31FE"/>
    <w:rsid w:val="001E12C7"/>
    <w:rsid w:val="001E4F84"/>
    <w:rsid w:val="002075FE"/>
    <w:rsid w:val="002126C4"/>
    <w:rsid w:val="0021786E"/>
    <w:rsid w:val="00220105"/>
    <w:rsid w:val="00234466"/>
    <w:rsid w:val="002376DA"/>
    <w:rsid w:val="00243469"/>
    <w:rsid w:val="00254432"/>
    <w:rsid w:val="002561D7"/>
    <w:rsid w:val="00287955"/>
    <w:rsid w:val="00291B40"/>
    <w:rsid w:val="00297D6A"/>
    <w:rsid w:val="002A1BE5"/>
    <w:rsid w:val="002A52E4"/>
    <w:rsid w:val="002B079F"/>
    <w:rsid w:val="002C2542"/>
    <w:rsid w:val="002C28A5"/>
    <w:rsid w:val="002D63A8"/>
    <w:rsid w:val="002D7EDD"/>
    <w:rsid w:val="002E10BB"/>
    <w:rsid w:val="002E30C1"/>
    <w:rsid w:val="002E6D30"/>
    <w:rsid w:val="002F0A73"/>
    <w:rsid w:val="002F2ADC"/>
    <w:rsid w:val="002F7ED9"/>
    <w:rsid w:val="00323709"/>
    <w:rsid w:val="00331BD8"/>
    <w:rsid w:val="00363607"/>
    <w:rsid w:val="00363FBB"/>
    <w:rsid w:val="00372083"/>
    <w:rsid w:val="0038283B"/>
    <w:rsid w:val="00384604"/>
    <w:rsid w:val="00391B30"/>
    <w:rsid w:val="00394D6F"/>
    <w:rsid w:val="003B0EB5"/>
    <w:rsid w:val="003B2D83"/>
    <w:rsid w:val="003B6459"/>
    <w:rsid w:val="003C06F7"/>
    <w:rsid w:val="00404159"/>
    <w:rsid w:val="00407A3F"/>
    <w:rsid w:val="00421819"/>
    <w:rsid w:val="00440590"/>
    <w:rsid w:val="0044331C"/>
    <w:rsid w:val="004546A7"/>
    <w:rsid w:val="00464AEC"/>
    <w:rsid w:val="0047020C"/>
    <w:rsid w:val="004707A9"/>
    <w:rsid w:val="00471C06"/>
    <w:rsid w:val="004778F6"/>
    <w:rsid w:val="00480696"/>
    <w:rsid w:val="004A5AD6"/>
    <w:rsid w:val="004B10E3"/>
    <w:rsid w:val="004B3957"/>
    <w:rsid w:val="004B4F43"/>
    <w:rsid w:val="004D7862"/>
    <w:rsid w:val="004F79E2"/>
    <w:rsid w:val="00505799"/>
    <w:rsid w:val="00515BFD"/>
    <w:rsid w:val="00515CEA"/>
    <w:rsid w:val="00522731"/>
    <w:rsid w:val="00544C1C"/>
    <w:rsid w:val="005469E0"/>
    <w:rsid w:val="00565EBD"/>
    <w:rsid w:val="00570BAB"/>
    <w:rsid w:val="005834EA"/>
    <w:rsid w:val="00585815"/>
    <w:rsid w:val="005870AF"/>
    <w:rsid w:val="00596DBE"/>
    <w:rsid w:val="005A063A"/>
    <w:rsid w:val="005A509C"/>
    <w:rsid w:val="005A5552"/>
    <w:rsid w:val="005B0897"/>
    <w:rsid w:val="005B54CC"/>
    <w:rsid w:val="005C0129"/>
    <w:rsid w:val="005C4A1D"/>
    <w:rsid w:val="00617A7D"/>
    <w:rsid w:val="00626B85"/>
    <w:rsid w:val="0063237E"/>
    <w:rsid w:val="0064383E"/>
    <w:rsid w:val="00652F5A"/>
    <w:rsid w:val="006546F6"/>
    <w:rsid w:val="0065514F"/>
    <w:rsid w:val="00656F60"/>
    <w:rsid w:val="0066466F"/>
    <w:rsid w:val="00664E56"/>
    <w:rsid w:val="00681122"/>
    <w:rsid w:val="0069380C"/>
    <w:rsid w:val="006A4D7C"/>
    <w:rsid w:val="006B3153"/>
    <w:rsid w:val="006B378F"/>
    <w:rsid w:val="006C4AA8"/>
    <w:rsid w:val="006C4DAC"/>
    <w:rsid w:val="006E3091"/>
    <w:rsid w:val="006E53DB"/>
    <w:rsid w:val="006F2170"/>
    <w:rsid w:val="006F603E"/>
    <w:rsid w:val="006F67CB"/>
    <w:rsid w:val="0070193C"/>
    <w:rsid w:val="007146F0"/>
    <w:rsid w:val="00717F4A"/>
    <w:rsid w:val="00736FD7"/>
    <w:rsid w:val="00740687"/>
    <w:rsid w:val="007507E5"/>
    <w:rsid w:val="00756A55"/>
    <w:rsid w:val="00760DD4"/>
    <w:rsid w:val="00761D1A"/>
    <w:rsid w:val="00765703"/>
    <w:rsid w:val="00766316"/>
    <w:rsid w:val="00772EC8"/>
    <w:rsid w:val="007747D5"/>
    <w:rsid w:val="007803AC"/>
    <w:rsid w:val="00783CA2"/>
    <w:rsid w:val="00794272"/>
    <w:rsid w:val="007A48E9"/>
    <w:rsid w:val="007D71F4"/>
    <w:rsid w:val="007E47BA"/>
    <w:rsid w:val="007E47E5"/>
    <w:rsid w:val="007F1B8A"/>
    <w:rsid w:val="007F7CCD"/>
    <w:rsid w:val="0080595B"/>
    <w:rsid w:val="00806205"/>
    <w:rsid w:val="008070A3"/>
    <w:rsid w:val="00813A93"/>
    <w:rsid w:val="00813BD2"/>
    <w:rsid w:val="00821A36"/>
    <w:rsid w:val="00882D41"/>
    <w:rsid w:val="008844D5"/>
    <w:rsid w:val="008870AF"/>
    <w:rsid w:val="00897A0F"/>
    <w:rsid w:val="008A20F3"/>
    <w:rsid w:val="008B5071"/>
    <w:rsid w:val="008B74E8"/>
    <w:rsid w:val="008B795F"/>
    <w:rsid w:val="008C236E"/>
    <w:rsid w:val="008C3144"/>
    <w:rsid w:val="008C4B2B"/>
    <w:rsid w:val="008C7A2D"/>
    <w:rsid w:val="008D24C3"/>
    <w:rsid w:val="008E0FF1"/>
    <w:rsid w:val="008E5754"/>
    <w:rsid w:val="008F60A5"/>
    <w:rsid w:val="008F6394"/>
    <w:rsid w:val="008F7795"/>
    <w:rsid w:val="009054F0"/>
    <w:rsid w:val="00907A18"/>
    <w:rsid w:val="009131C7"/>
    <w:rsid w:val="0091326F"/>
    <w:rsid w:val="0091462A"/>
    <w:rsid w:val="009179C5"/>
    <w:rsid w:val="00920B32"/>
    <w:rsid w:val="00934843"/>
    <w:rsid w:val="00953876"/>
    <w:rsid w:val="00967E9D"/>
    <w:rsid w:val="00981597"/>
    <w:rsid w:val="00982AE7"/>
    <w:rsid w:val="00983ED0"/>
    <w:rsid w:val="00986502"/>
    <w:rsid w:val="009925A3"/>
    <w:rsid w:val="009942C9"/>
    <w:rsid w:val="009B0E44"/>
    <w:rsid w:val="009B16D9"/>
    <w:rsid w:val="009B206B"/>
    <w:rsid w:val="009B219B"/>
    <w:rsid w:val="009B303B"/>
    <w:rsid w:val="009E32A8"/>
    <w:rsid w:val="009E59C6"/>
    <w:rsid w:val="009E682A"/>
    <w:rsid w:val="00A03C14"/>
    <w:rsid w:val="00A067E9"/>
    <w:rsid w:val="00A10B8D"/>
    <w:rsid w:val="00A128F4"/>
    <w:rsid w:val="00A15FE3"/>
    <w:rsid w:val="00A2646C"/>
    <w:rsid w:val="00A3510B"/>
    <w:rsid w:val="00A378C1"/>
    <w:rsid w:val="00A47CEC"/>
    <w:rsid w:val="00A50A90"/>
    <w:rsid w:val="00A52C16"/>
    <w:rsid w:val="00A55EDB"/>
    <w:rsid w:val="00A574A2"/>
    <w:rsid w:val="00A615EF"/>
    <w:rsid w:val="00A700CC"/>
    <w:rsid w:val="00A72E37"/>
    <w:rsid w:val="00A732B9"/>
    <w:rsid w:val="00A74DD5"/>
    <w:rsid w:val="00A818E8"/>
    <w:rsid w:val="00A90B5D"/>
    <w:rsid w:val="00AA1644"/>
    <w:rsid w:val="00AA29F4"/>
    <w:rsid w:val="00AA74F6"/>
    <w:rsid w:val="00AB2AAE"/>
    <w:rsid w:val="00AB64DE"/>
    <w:rsid w:val="00AD08D4"/>
    <w:rsid w:val="00AF4713"/>
    <w:rsid w:val="00B10EB7"/>
    <w:rsid w:val="00B44C1B"/>
    <w:rsid w:val="00B51B5D"/>
    <w:rsid w:val="00B64B65"/>
    <w:rsid w:val="00B66F53"/>
    <w:rsid w:val="00B7056C"/>
    <w:rsid w:val="00B73B99"/>
    <w:rsid w:val="00B753B6"/>
    <w:rsid w:val="00B85132"/>
    <w:rsid w:val="00B85D46"/>
    <w:rsid w:val="00B8740C"/>
    <w:rsid w:val="00BB7C99"/>
    <w:rsid w:val="00BC63B7"/>
    <w:rsid w:val="00BD358D"/>
    <w:rsid w:val="00BE7581"/>
    <w:rsid w:val="00BF18F2"/>
    <w:rsid w:val="00C07E74"/>
    <w:rsid w:val="00C123A1"/>
    <w:rsid w:val="00C2295C"/>
    <w:rsid w:val="00C41BFC"/>
    <w:rsid w:val="00C4568C"/>
    <w:rsid w:val="00C475DA"/>
    <w:rsid w:val="00C51CCA"/>
    <w:rsid w:val="00C5228B"/>
    <w:rsid w:val="00C627B4"/>
    <w:rsid w:val="00C631FF"/>
    <w:rsid w:val="00C8315E"/>
    <w:rsid w:val="00C8625F"/>
    <w:rsid w:val="00C90116"/>
    <w:rsid w:val="00C947B7"/>
    <w:rsid w:val="00C97BF2"/>
    <w:rsid w:val="00CA357B"/>
    <w:rsid w:val="00CA41E9"/>
    <w:rsid w:val="00CA7442"/>
    <w:rsid w:val="00CA7DBE"/>
    <w:rsid w:val="00CC5ECE"/>
    <w:rsid w:val="00CE48D3"/>
    <w:rsid w:val="00CE53E0"/>
    <w:rsid w:val="00CF3D04"/>
    <w:rsid w:val="00CF40D0"/>
    <w:rsid w:val="00CF54FB"/>
    <w:rsid w:val="00CF58A5"/>
    <w:rsid w:val="00D019D1"/>
    <w:rsid w:val="00D14598"/>
    <w:rsid w:val="00D20BE6"/>
    <w:rsid w:val="00D26172"/>
    <w:rsid w:val="00D265B1"/>
    <w:rsid w:val="00D26F3F"/>
    <w:rsid w:val="00D27CA9"/>
    <w:rsid w:val="00D33EEA"/>
    <w:rsid w:val="00D479EA"/>
    <w:rsid w:val="00D769D6"/>
    <w:rsid w:val="00D939D1"/>
    <w:rsid w:val="00D950BC"/>
    <w:rsid w:val="00D952B2"/>
    <w:rsid w:val="00DA4B8A"/>
    <w:rsid w:val="00DA5C7E"/>
    <w:rsid w:val="00DB73A6"/>
    <w:rsid w:val="00DD14AA"/>
    <w:rsid w:val="00DD21EE"/>
    <w:rsid w:val="00DE73D7"/>
    <w:rsid w:val="00DE7917"/>
    <w:rsid w:val="00DF1986"/>
    <w:rsid w:val="00DF5BBA"/>
    <w:rsid w:val="00DF6753"/>
    <w:rsid w:val="00E05951"/>
    <w:rsid w:val="00E107EE"/>
    <w:rsid w:val="00E15774"/>
    <w:rsid w:val="00E35FA3"/>
    <w:rsid w:val="00E41552"/>
    <w:rsid w:val="00E420FD"/>
    <w:rsid w:val="00E53CE9"/>
    <w:rsid w:val="00E76FEB"/>
    <w:rsid w:val="00E8439F"/>
    <w:rsid w:val="00E90AF5"/>
    <w:rsid w:val="00E92B50"/>
    <w:rsid w:val="00EA2C71"/>
    <w:rsid w:val="00EA3048"/>
    <w:rsid w:val="00EA4B53"/>
    <w:rsid w:val="00EB2D75"/>
    <w:rsid w:val="00EB5339"/>
    <w:rsid w:val="00EB7D02"/>
    <w:rsid w:val="00EC0150"/>
    <w:rsid w:val="00ED336D"/>
    <w:rsid w:val="00F04187"/>
    <w:rsid w:val="00F113FF"/>
    <w:rsid w:val="00F25271"/>
    <w:rsid w:val="00F34552"/>
    <w:rsid w:val="00F3766D"/>
    <w:rsid w:val="00F427B7"/>
    <w:rsid w:val="00F51458"/>
    <w:rsid w:val="00F56CF8"/>
    <w:rsid w:val="00F670AD"/>
    <w:rsid w:val="00F67D94"/>
    <w:rsid w:val="00F935B2"/>
    <w:rsid w:val="00F94750"/>
    <w:rsid w:val="00F94F4F"/>
    <w:rsid w:val="00FA22AD"/>
    <w:rsid w:val="00FB1B0B"/>
    <w:rsid w:val="00FB66D6"/>
    <w:rsid w:val="00FD33A6"/>
    <w:rsid w:val="00FF0B46"/>
    <w:rsid w:val="00FF2BF8"/>
    <w:rsid w:val="01066A48"/>
    <w:rsid w:val="011B03F3"/>
    <w:rsid w:val="011B1F85"/>
    <w:rsid w:val="01341807"/>
    <w:rsid w:val="016D2346"/>
    <w:rsid w:val="016E0BCC"/>
    <w:rsid w:val="017C2A65"/>
    <w:rsid w:val="01827F37"/>
    <w:rsid w:val="01980290"/>
    <w:rsid w:val="01A144C1"/>
    <w:rsid w:val="01A941FD"/>
    <w:rsid w:val="01D312FD"/>
    <w:rsid w:val="01FA47FF"/>
    <w:rsid w:val="02012B23"/>
    <w:rsid w:val="020972D1"/>
    <w:rsid w:val="020D21BB"/>
    <w:rsid w:val="020E7E50"/>
    <w:rsid w:val="02191C82"/>
    <w:rsid w:val="022A7499"/>
    <w:rsid w:val="02330063"/>
    <w:rsid w:val="02331ABF"/>
    <w:rsid w:val="023656B6"/>
    <w:rsid w:val="02380E83"/>
    <w:rsid w:val="02436921"/>
    <w:rsid w:val="027865B5"/>
    <w:rsid w:val="028364EB"/>
    <w:rsid w:val="0293184C"/>
    <w:rsid w:val="02942B92"/>
    <w:rsid w:val="02B1180D"/>
    <w:rsid w:val="02ED7EC0"/>
    <w:rsid w:val="02EF24A5"/>
    <w:rsid w:val="0303689C"/>
    <w:rsid w:val="03080472"/>
    <w:rsid w:val="03102E3B"/>
    <w:rsid w:val="03150139"/>
    <w:rsid w:val="032D331F"/>
    <w:rsid w:val="034C108A"/>
    <w:rsid w:val="0354517D"/>
    <w:rsid w:val="035D1205"/>
    <w:rsid w:val="035E2F5E"/>
    <w:rsid w:val="039667A9"/>
    <w:rsid w:val="039B64CB"/>
    <w:rsid w:val="03B07CA3"/>
    <w:rsid w:val="03B768A0"/>
    <w:rsid w:val="03CB4DA4"/>
    <w:rsid w:val="03CD5D39"/>
    <w:rsid w:val="03DD6DA3"/>
    <w:rsid w:val="03E80F29"/>
    <w:rsid w:val="040102C2"/>
    <w:rsid w:val="04381617"/>
    <w:rsid w:val="046C2295"/>
    <w:rsid w:val="047F5F97"/>
    <w:rsid w:val="04DC01EC"/>
    <w:rsid w:val="04E62B47"/>
    <w:rsid w:val="04F3443A"/>
    <w:rsid w:val="051A0D14"/>
    <w:rsid w:val="0539061F"/>
    <w:rsid w:val="05602E81"/>
    <w:rsid w:val="05665E85"/>
    <w:rsid w:val="058E660D"/>
    <w:rsid w:val="05CC6790"/>
    <w:rsid w:val="05E7657F"/>
    <w:rsid w:val="05EA1BE3"/>
    <w:rsid w:val="05EE5B89"/>
    <w:rsid w:val="05EF6A1F"/>
    <w:rsid w:val="05F65B05"/>
    <w:rsid w:val="05FB6FBC"/>
    <w:rsid w:val="060043AE"/>
    <w:rsid w:val="06097874"/>
    <w:rsid w:val="06261EED"/>
    <w:rsid w:val="06281C93"/>
    <w:rsid w:val="062B4375"/>
    <w:rsid w:val="06466E07"/>
    <w:rsid w:val="066D7F38"/>
    <w:rsid w:val="066E0B3E"/>
    <w:rsid w:val="0689230D"/>
    <w:rsid w:val="069114AA"/>
    <w:rsid w:val="069E5968"/>
    <w:rsid w:val="06AE29DA"/>
    <w:rsid w:val="06C4362D"/>
    <w:rsid w:val="06CB23C2"/>
    <w:rsid w:val="06EE2458"/>
    <w:rsid w:val="06F3019C"/>
    <w:rsid w:val="06FF0E81"/>
    <w:rsid w:val="070F1174"/>
    <w:rsid w:val="07107D8E"/>
    <w:rsid w:val="07126B3E"/>
    <w:rsid w:val="07201E36"/>
    <w:rsid w:val="072E692F"/>
    <w:rsid w:val="074C577B"/>
    <w:rsid w:val="07500FA2"/>
    <w:rsid w:val="07A73182"/>
    <w:rsid w:val="07AA637F"/>
    <w:rsid w:val="07DF0CA5"/>
    <w:rsid w:val="07E8373E"/>
    <w:rsid w:val="07EE2F85"/>
    <w:rsid w:val="07EF59D0"/>
    <w:rsid w:val="07FA36D0"/>
    <w:rsid w:val="08030D4D"/>
    <w:rsid w:val="081031BF"/>
    <w:rsid w:val="08204893"/>
    <w:rsid w:val="0836262D"/>
    <w:rsid w:val="083B62B9"/>
    <w:rsid w:val="08553A8B"/>
    <w:rsid w:val="086020B1"/>
    <w:rsid w:val="086A057B"/>
    <w:rsid w:val="087D292A"/>
    <w:rsid w:val="089371EB"/>
    <w:rsid w:val="0898078B"/>
    <w:rsid w:val="08AD62E4"/>
    <w:rsid w:val="08C57741"/>
    <w:rsid w:val="08C77DF9"/>
    <w:rsid w:val="091061C8"/>
    <w:rsid w:val="092D6182"/>
    <w:rsid w:val="092E1232"/>
    <w:rsid w:val="092F6DC5"/>
    <w:rsid w:val="094541CB"/>
    <w:rsid w:val="09514723"/>
    <w:rsid w:val="09604EB8"/>
    <w:rsid w:val="09691B90"/>
    <w:rsid w:val="096F5B48"/>
    <w:rsid w:val="09AA5A81"/>
    <w:rsid w:val="09B42627"/>
    <w:rsid w:val="09BC6747"/>
    <w:rsid w:val="09CD7368"/>
    <w:rsid w:val="09DA28B7"/>
    <w:rsid w:val="09DB4BAE"/>
    <w:rsid w:val="09E34449"/>
    <w:rsid w:val="09F34153"/>
    <w:rsid w:val="09FF6258"/>
    <w:rsid w:val="0A01671E"/>
    <w:rsid w:val="0A173A74"/>
    <w:rsid w:val="0A326B00"/>
    <w:rsid w:val="0A3E26E6"/>
    <w:rsid w:val="0A48378E"/>
    <w:rsid w:val="0A5C2888"/>
    <w:rsid w:val="0A7D421F"/>
    <w:rsid w:val="0A9E5470"/>
    <w:rsid w:val="0AA00663"/>
    <w:rsid w:val="0AAA507B"/>
    <w:rsid w:val="0AC464CA"/>
    <w:rsid w:val="0AE14E99"/>
    <w:rsid w:val="0AEB3DC0"/>
    <w:rsid w:val="0AEF054D"/>
    <w:rsid w:val="0AF35117"/>
    <w:rsid w:val="0AF61AC2"/>
    <w:rsid w:val="0AF85654"/>
    <w:rsid w:val="0AFA046E"/>
    <w:rsid w:val="0B1B3416"/>
    <w:rsid w:val="0B233E98"/>
    <w:rsid w:val="0B2F6B48"/>
    <w:rsid w:val="0B3F7726"/>
    <w:rsid w:val="0B41082A"/>
    <w:rsid w:val="0B4E5BBB"/>
    <w:rsid w:val="0BD22349"/>
    <w:rsid w:val="0BD3023D"/>
    <w:rsid w:val="0BE86510"/>
    <w:rsid w:val="0BE930CD"/>
    <w:rsid w:val="0C03307F"/>
    <w:rsid w:val="0C171B66"/>
    <w:rsid w:val="0C1870E5"/>
    <w:rsid w:val="0C411356"/>
    <w:rsid w:val="0C864CDA"/>
    <w:rsid w:val="0C942CFC"/>
    <w:rsid w:val="0CA019AA"/>
    <w:rsid w:val="0CA21D1B"/>
    <w:rsid w:val="0CD81BE1"/>
    <w:rsid w:val="0CEA1BC0"/>
    <w:rsid w:val="0D5C3185"/>
    <w:rsid w:val="0D86163D"/>
    <w:rsid w:val="0D8B4276"/>
    <w:rsid w:val="0D8F25D6"/>
    <w:rsid w:val="0D96313D"/>
    <w:rsid w:val="0DA81CB9"/>
    <w:rsid w:val="0DC539CC"/>
    <w:rsid w:val="0DE40095"/>
    <w:rsid w:val="0DFA5B87"/>
    <w:rsid w:val="0E1C5AFD"/>
    <w:rsid w:val="0E1F1149"/>
    <w:rsid w:val="0E3835EC"/>
    <w:rsid w:val="0E3B2427"/>
    <w:rsid w:val="0E4243E5"/>
    <w:rsid w:val="0E6B4448"/>
    <w:rsid w:val="0E792F4F"/>
    <w:rsid w:val="0E870B6C"/>
    <w:rsid w:val="0E8A2A67"/>
    <w:rsid w:val="0E8C60E5"/>
    <w:rsid w:val="0EAB558F"/>
    <w:rsid w:val="0EDC2F28"/>
    <w:rsid w:val="0EDD06A4"/>
    <w:rsid w:val="0F1A7CDC"/>
    <w:rsid w:val="0F1E1DBF"/>
    <w:rsid w:val="0F28279D"/>
    <w:rsid w:val="0F3D47DA"/>
    <w:rsid w:val="0F417A30"/>
    <w:rsid w:val="0F44530B"/>
    <w:rsid w:val="0F617F00"/>
    <w:rsid w:val="0F8E49F1"/>
    <w:rsid w:val="0F8E639E"/>
    <w:rsid w:val="0F986AF8"/>
    <w:rsid w:val="0FA77648"/>
    <w:rsid w:val="0FC921DD"/>
    <w:rsid w:val="0FF61E7A"/>
    <w:rsid w:val="0FFE7252"/>
    <w:rsid w:val="101051ED"/>
    <w:rsid w:val="101C7B69"/>
    <w:rsid w:val="10257C82"/>
    <w:rsid w:val="10370209"/>
    <w:rsid w:val="10425E4E"/>
    <w:rsid w:val="104A6E1B"/>
    <w:rsid w:val="10527522"/>
    <w:rsid w:val="10595EE4"/>
    <w:rsid w:val="106C6749"/>
    <w:rsid w:val="107B3CDC"/>
    <w:rsid w:val="10841436"/>
    <w:rsid w:val="10AE28AC"/>
    <w:rsid w:val="10B169D0"/>
    <w:rsid w:val="10B33874"/>
    <w:rsid w:val="10B72B5F"/>
    <w:rsid w:val="10D15A3A"/>
    <w:rsid w:val="10D273D3"/>
    <w:rsid w:val="10D8131B"/>
    <w:rsid w:val="10DB1C9F"/>
    <w:rsid w:val="10ED1235"/>
    <w:rsid w:val="10EF5529"/>
    <w:rsid w:val="10FC3043"/>
    <w:rsid w:val="110A60E1"/>
    <w:rsid w:val="110B781C"/>
    <w:rsid w:val="115A7EC4"/>
    <w:rsid w:val="116003F7"/>
    <w:rsid w:val="11604BDC"/>
    <w:rsid w:val="1163426E"/>
    <w:rsid w:val="11835E1F"/>
    <w:rsid w:val="118B7221"/>
    <w:rsid w:val="119C0EEE"/>
    <w:rsid w:val="11AF2F60"/>
    <w:rsid w:val="11B17F14"/>
    <w:rsid w:val="11B4482B"/>
    <w:rsid w:val="11B619F3"/>
    <w:rsid w:val="11C166E3"/>
    <w:rsid w:val="11DC7A7D"/>
    <w:rsid w:val="11EF3715"/>
    <w:rsid w:val="11FC3C7B"/>
    <w:rsid w:val="12047C1C"/>
    <w:rsid w:val="12205350"/>
    <w:rsid w:val="1240059B"/>
    <w:rsid w:val="12450AAC"/>
    <w:rsid w:val="12477B58"/>
    <w:rsid w:val="124A7858"/>
    <w:rsid w:val="124D44D7"/>
    <w:rsid w:val="12842637"/>
    <w:rsid w:val="128F6FB5"/>
    <w:rsid w:val="12900868"/>
    <w:rsid w:val="12AE2B18"/>
    <w:rsid w:val="12B43F78"/>
    <w:rsid w:val="12B62CB5"/>
    <w:rsid w:val="12B96994"/>
    <w:rsid w:val="12DB51A7"/>
    <w:rsid w:val="12E32EDE"/>
    <w:rsid w:val="12F06675"/>
    <w:rsid w:val="1312127D"/>
    <w:rsid w:val="1315595C"/>
    <w:rsid w:val="13385187"/>
    <w:rsid w:val="133B3709"/>
    <w:rsid w:val="135C6EE1"/>
    <w:rsid w:val="135D2E40"/>
    <w:rsid w:val="136578B6"/>
    <w:rsid w:val="13697BED"/>
    <w:rsid w:val="138A3509"/>
    <w:rsid w:val="138D01AB"/>
    <w:rsid w:val="13921506"/>
    <w:rsid w:val="13A1593E"/>
    <w:rsid w:val="13B62918"/>
    <w:rsid w:val="13BB220B"/>
    <w:rsid w:val="13D206F8"/>
    <w:rsid w:val="13D810BE"/>
    <w:rsid w:val="13DF3515"/>
    <w:rsid w:val="13E72709"/>
    <w:rsid w:val="13EE1CEA"/>
    <w:rsid w:val="13F34C8A"/>
    <w:rsid w:val="13FD1F2D"/>
    <w:rsid w:val="140E5540"/>
    <w:rsid w:val="141310F7"/>
    <w:rsid w:val="142B0B94"/>
    <w:rsid w:val="142F0058"/>
    <w:rsid w:val="14467430"/>
    <w:rsid w:val="145C3EE8"/>
    <w:rsid w:val="14672FD1"/>
    <w:rsid w:val="146E4C4C"/>
    <w:rsid w:val="147434E2"/>
    <w:rsid w:val="14A30CCC"/>
    <w:rsid w:val="14CC59A0"/>
    <w:rsid w:val="14EA5CF1"/>
    <w:rsid w:val="14EF1E4C"/>
    <w:rsid w:val="151B3542"/>
    <w:rsid w:val="153A342A"/>
    <w:rsid w:val="15415D5A"/>
    <w:rsid w:val="154A62B0"/>
    <w:rsid w:val="15512BAB"/>
    <w:rsid w:val="15602773"/>
    <w:rsid w:val="157526DA"/>
    <w:rsid w:val="15783BB0"/>
    <w:rsid w:val="157E709D"/>
    <w:rsid w:val="15820C4A"/>
    <w:rsid w:val="15884802"/>
    <w:rsid w:val="15897B42"/>
    <w:rsid w:val="15AE7982"/>
    <w:rsid w:val="15CE22EA"/>
    <w:rsid w:val="15D24AB9"/>
    <w:rsid w:val="15D5574D"/>
    <w:rsid w:val="15E24476"/>
    <w:rsid w:val="15EA50C6"/>
    <w:rsid w:val="160843BB"/>
    <w:rsid w:val="160F7CF5"/>
    <w:rsid w:val="16105F47"/>
    <w:rsid w:val="1629525B"/>
    <w:rsid w:val="162E0B79"/>
    <w:rsid w:val="16385E3D"/>
    <w:rsid w:val="163F3342"/>
    <w:rsid w:val="16611280"/>
    <w:rsid w:val="166F6F46"/>
    <w:rsid w:val="1672617F"/>
    <w:rsid w:val="16845276"/>
    <w:rsid w:val="168626AD"/>
    <w:rsid w:val="16894891"/>
    <w:rsid w:val="168D6D26"/>
    <w:rsid w:val="169F376F"/>
    <w:rsid w:val="16BE4B46"/>
    <w:rsid w:val="16D52CED"/>
    <w:rsid w:val="16DE4297"/>
    <w:rsid w:val="17207033"/>
    <w:rsid w:val="172779EC"/>
    <w:rsid w:val="172C57D1"/>
    <w:rsid w:val="1743234C"/>
    <w:rsid w:val="174A6149"/>
    <w:rsid w:val="175D5335"/>
    <w:rsid w:val="17622036"/>
    <w:rsid w:val="1763394C"/>
    <w:rsid w:val="176A1687"/>
    <w:rsid w:val="17900768"/>
    <w:rsid w:val="17A728DB"/>
    <w:rsid w:val="17A74689"/>
    <w:rsid w:val="17AA1A8B"/>
    <w:rsid w:val="17AB789E"/>
    <w:rsid w:val="17AF8C1B"/>
    <w:rsid w:val="17B23E60"/>
    <w:rsid w:val="17C028C2"/>
    <w:rsid w:val="17D634D5"/>
    <w:rsid w:val="17E23670"/>
    <w:rsid w:val="180B3BC6"/>
    <w:rsid w:val="181C3BBA"/>
    <w:rsid w:val="18553F11"/>
    <w:rsid w:val="18567B24"/>
    <w:rsid w:val="185F6C71"/>
    <w:rsid w:val="18661560"/>
    <w:rsid w:val="18714330"/>
    <w:rsid w:val="18722BE2"/>
    <w:rsid w:val="189F35B2"/>
    <w:rsid w:val="18B4551B"/>
    <w:rsid w:val="18BA47B6"/>
    <w:rsid w:val="18C34B4D"/>
    <w:rsid w:val="18DD40DB"/>
    <w:rsid w:val="18E61C15"/>
    <w:rsid w:val="18EB67F8"/>
    <w:rsid w:val="19127F94"/>
    <w:rsid w:val="191872B6"/>
    <w:rsid w:val="192827FC"/>
    <w:rsid w:val="192B123E"/>
    <w:rsid w:val="19541F90"/>
    <w:rsid w:val="19544B94"/>
    <w:rsid w:val="195E2158"/>
    <w:rsid w:val="19620DF6"/>
    <w:rsid w:val="197B0A31"/>
    <w:rsid w:val="19962C07"/>
    <w:rsid w:val="19AA00C7"/>
    <w:rsid w:val="19BB231E"/>
    <w:rsid w:val="19BE6E4C"/>
    <w:rsid w:val="19C86B39"/>
    <w:rsid w:val="19C950BD"/>
    <w:rsid w:val="19CC6670"/>
    <w:rsid w:val="19E219A9"/>
    <w:rsid w:val="19EF056A"/>
    <w:rsid w:val="19FA6BF4"/>
    <w:rsid w:val="1A331DE5"/>
    <w:rsid w:val="1A361CEC"/>
    <w:rsid w:val="1A3B37AF"/>
    <w:rsid w:val="1A41539A"/>
    <w:rsid w:val="1A5012EE"/>
    <w:rsid w:val="1A5431B1"/>
    <w:rsid w:val="1A636964"/>
    <w:rsid w:val="1A6B4094"/>
    <w:rsid w:val="1A6C34FE"/>
    <w:rsid w:val="1A8D5389"/>
    <w:rsid w:val="1AA970D1"/>
    <w:rsid w:val="1AB33345"/>
    <w:rsid w:val="1AF8241D"/>
    <w:rsid w:val="1B025445"/>
    <w:rsid w:val="1B03607B"/>
    <w:rsid w:val="1B19342D"/>
    <w:rsid w:val="1B1E113A"/>
    <w:rsid w:val="1B2916B0"/>
    <w:rsid w:val="1B4C0A46"/>
    <w:rsid w:val="1B5B6908"/>
    <w:rsid w:val="1B5C2157"/>
    <w:rsid w:val="1B6009FB"/>
    <w:rsid w:val="1B71269A"/>
    <w:rsid w:val="1B742AD4"/>
    <w:rsid w:val="1B9C027D"/>
    <w:rsid w:val="1BA86C22"/>
    <w:rsid w:val="1BAE4D40"/>
    <w:rsid w:val="1BB46265"/>
    <w:rsid w:val="1BB9498B"/>
    <w:rsid w:val="1BDE0779"/>
    <w:rsid w:val="1C0E15A4"/>
    <w:rsid w:val="1C1C40DC"/>
    <w:rsid w:val="1C2B5830"/>
    <w:rsid w:val="1C330DDB"/>
    <w:rsid w:val="1C5D3A88"/>
    <w:rsid w:val="1C751F64"/>
    <w:rsid w:val="1C7B1C4E"/>
    <w:rsid w:val="1C913B5A"/>
    <w:rsid w:val="1CB95A0D"/>
    <w:rsid w:val="1CBA6C0D"/>
    <w:rsid w:val="1CE638B0"/>
    <w:rsid w:val="1CE976DE"/>
    <w:rsid w:val="1CEF4B16"/>
    <w:rsid w:val="1D2A4F20"/>
    <w:rsid w:val="1D506384"/>
    <w:rsid w:val="1DAC21A4"/>
    <w:rsid w:val="1DB40701"/>
    <w:rsid w:val="1DB93368"/>
    <w:rsid w:val="1DC53ABB"/>
    <w:rsid w:val="1DE244D9"/>
    <w:rsid w:val="1DF44D88"/>
    <w:rsid w:val="1DF63B37"/>
    <w:rsid w:val="1E1862E1"/>
    <w:rsid w:val="1E1C23FC"/>
    <w:rsid w:val="1E2307E2"/>
    <w:rsid w:val="1E430E84"/>
    <w:rsid w:val="1E473DD3"/>
    <w:rsid w:val="1E4F5A7B"/>
    <w:rsid w:val="1E562965"/>
    <w:rsid w:val="1E6C2189"/>
    <w:rsid w:val="1E891832"/>
    <w:rsid w:val="1E8A6AB3"/>
    <w:rsid w:val="1E942F40"/>
    <w:rsid w:val="1EB8717C"/>
    <w:rsid w:val="1EBB6C6C"/>
    <w:rsid w:val="1EC060B2"/>
    <w:rsid w:val="1EDA68F9"/>
    <w:rsid w:val="1EE735AF"/>
    <w:rsid w:val="1EF657D6"/>
    <w:rsid w:val="1F163F21"/>
    <w:rsid w:val="1F4B0572"/>
    <w:rsid w:val="1F4E7B71"/>
    <w:rsid w:val="1F60453B"/>
    <w:rsid w:val="1F792DAF"/>
    <w:rsid w:val="1F7D3F22"/>
    <w:rsid w:val="1F935EFC"/>
    <w:rsid w:val="1F955AA3"/>
    <w:rsid w:val="1F9B2B11"/>
    <w:rsid w:val="1FAF3EE6"/>
    <w:rsid w:val="1FB81E2D"/>
    <w:rsid w:val="1FB95C46"/>
    <w:rsid w:val="1FBF0AD2"/>
    <w:rsid w:val="1FDE28FE"/>
    <w:rsid w:val="1FEF4E1F"/>
    <w:rsid w:val="1FF43155"/>
    <w:rsid w:val="201D5325"/>
    <w:rsid w:val="20391479"/>
    <w:rsid w:val="205630F0"/>
    <w:rsid w:val="206155F1"/>
    <w:rsid w:val="207E2FFC"/>
    <w:rsid w:val="2094293D"/>
    <w:rsid w:val="20A11AB1"/>
    <w:rsid w:val="20C444FE"/>
    <w:rsid w:val="20D51B5F"/>
    <w:rsid w:val="20EA55E7"/>
    <w:rsid w:val="21017335"/>
    <w:rsid w:val="21156B08"/>
    <w:rsid w:val="21221AAD"/>
    <w:rsid w:val="21262AC3"/>
    <w:rsid w:val="21301ACE"/>
    <w:rsid w:val="213C316B"/>
    <w:rsid w:val="21645399"/>
    <w:rsid w:val="21664B31"/>
    <w:rsid w:val="217954E4"/>
    <w:rsid w:val="217C0CE7"/>
    <w:rsid w:val="218D4D42"/>
    <w:rsid w:val="21917E66"/>
    <w:rsid w:val="21A30BFF"/>
    <w:rsid w:val="21A5588C"/>
    <w:rsid w:val="21A6024F"/>
    <w:rsid w:val="21B433D5"/>
    <w:rsid w:val="21C32C2D"/>
    <w:rsid w:val="21C67E02"/>
    <w:rsid w:val="21D52EDF"/>
    <w:rsid w:val="21FC6C72"/>
    <w:rsid w:val="2208599B"/>
    <w:rsid w:val="22097CEF"/>
    <w:rsid w:val="220F4878"/>
    <w:rsid w:val="22162020"/>
    <w:rsid w:val="221E4D32"/>
    <w:rsid w:val="2222248B"/>
    <w:rsid w:val="2228286B"/>
    <w:rsid w:val="22396826"/>
    <w:rsid w:val="22606D03"/>
    <w:rsid w:val="226B3A41"/>
    <w:rsid w:val="22745F5D"/>
    <w:rsid w:val="22890942"/>
    <w:rsid w:val="228D1D99"/>
    <w:rsid w:val="22A146F2"/>
    <w:rsid w:val="22A243CB"/>
    <w:rsid w:val="22AA4D09"/>
    <w:rsid w:val="22AF0888"/>
    <w:rsid w:val="22C95DFC"/>
    <w:rsid w:val="22CE51C0"/>
    <w:rsid w:val="22D86971"/>
    <w:rsid w:val="22E4207C"/>
    <w:rsid w:val="230D0493"/>
    <w:rsid w:val="231F6A45"/>
    <w:rsid w:val="23244DE0"/>
    <w:rsid w:val="23460410"/>
    <w:rsid w:val="234856C5"/>
    <w:rsid w:val="23495C23"/>
    <w:rsid w:val="23572FA5"/>
    <w:rsid w:val="23775B74"/>
    <w:rsid w:val="23822231"/>
    <w:rsid w:val="239E4D54"/>
    <w:rsid w:val="23C40309"/>
    <w:rsid w:val="23DB3A6E"/>
    <w:rsid w:val="23DB47C3"/>
    <w:rsid w:val="240F2E63"/>
    <w:rsid w:val="24183AA4"/>
    <w:rsid w:val="242332EA"/>
    <w:rsid w:val="24261DBA"/>
    <w:rsid w:val="243A0633"/>
    <w:rsid w:val="243C084F"/>
    <w:rsid w:val="24442EBE"/>
    <w:rsid w:val="245678E7"/>
    <w:rsid w:val="24670831"/>
    <w:rsid w:val="24741EE9"/>
    <w:rsid w:val="247F1428"/>
    <w:rsid w:val="248F2940"/>
    <w:rsid w:val="2491720E"/>
    <w:rsid w:val="249917FE"/>
    <w:rsid w:val="24992662"/>
    <w:rsid w:val="249C463B"/>
    <w:rsid w:val="24A34F2A"/>
    <w:rsid w:val="24AC2947"/>
    <w:rsid w:val="24C2089D"/>
    <w:rsid w:val="24C20C9C"/>
    <w:rsid w:val="24D97E4C"/>
    <w:rsid w:val="24DF1AE8"/>
    <w:rsid w:val="24E30CCB"/>
    <w:rsid w:val="24ED56A6"/>
    <w:rsid w:val="25186BC6"/>
    <w:rsid w:val="252C15D2"/>
    <w:rsid w:val="25497DCC"/>
    <w:rsid w:val="2589098E"/>
    <w:rsid w:val="25A83D63"/>
    <w:rsid w:val="25B82AA7"/>
    <w:rsid w:val="25D86356"/>
    <w:rsid w:val="25FA3FCC"/>
    <w:rsid w:val="25FF0649"/>
    <w:rsid w:val="26442428"/>
    <w:rsid w:val="264F486A"/>
    <w:rsid w:val="26593CB2"/>
    <w:rsid w:val="26606A77"/>
    <w:rsid w:val="268B2666"/>
    <w:rsid w:val="268D174B"/>
    <w:rsid w:val="26902C04"/>
    <w:rsid w:val="26A917AA"/>
    <w:rsid w:val="26C34350"/>
    <w:rsid w:val="26CA3EF0"/>
    <w:rsid w:val="26CE0C8E"/>
    <w:rsid w:val="26D351CB"/>
    <w:rsid w:val="26EF54EB"/>
    <w:rsid w:val="26F106C1"/>
    <w:rsid w:val="26FE3B9A"/>
    <w:rsid w:val="270A14E8"/>
    <w:rsid w:val="270B6293"/>
    <w:rsid w:val="27117A20"/>
    <w:rsid w:val="271635D9"/>
    <w:rsid w:val="271B6840"/>
    <w:rsid w:val="273C651C"/>
    <w:rsid w:val="273E609E"/>
    <w:rsid w:val="27404115"/>
    <w:rsid w:val="2742246C"/>
    <w:rsid w:val="274242B0"/>
    <w:rsid w:val="274F04E8"/>
    <w:rsid w:val="275367BA"/>
    <w:rsid w:val="275B6B14"/>
    <w:rsid w:val="276F6846"/>
    <w:rsid w:val="2778394C"/>
    <w:rsid w:val="27820A2F"/>
    <w:rsid w:val="27915175"/>
    <w:rsid w:val="27C30AF9"/>
    <w:rsid w:val="27D67D3D"/>
    <w:rsid w:val="27DB3102"/>
    <w:rsid w:val="27DB7B9A"/>
    <w:rsid w:val="27DC2C7E"/>
    <w:rsid w:val="27E91624"/>
    <w:rsid w:val="28101DD7"/>
    <w:rsid w:val="281517C9"/>
    <w:rsid w:val="28225DE5"/>
    <w:rsid w:val="28351A73"/>
    <w:rsid w:val="2842145A"/>
    <w:rsid w:val="284B7A05"/>
    <w:rsid w:val="285F68BA"/>
    <w:rsid w:val="286914E7"/>
    <w:rsid w:val="28801408"/>
    <w:rsid w:val="288E0C62"/>
    <w:rsid w:val="289D0D97"/>
    <w:rsid w:val="28BC463E"/>
    <w:rsid w:val="28D41C6D"/>
    <w:rsid w:val="28DF5CF6"/>
    <w:rsid w:val="28E81341"/>
    <w:rsid w:val="29183639"/>
    <w:rsid w:val="292F09B8"/>
    <w:rsid w:val="293403B5"/>
    <w:rsid w:val="29476031"/>
    <w:rsid w:val="29477A7A"/>
    <w:rsid w:val="295E3FC0"/>
    <w:rsid w:val="296B7900"/>
    <w:rsid w:val="298365D8"/>
    <w:rsid w:val="298E2088"/>
    <w:rsid w:val="29986528"/>
    <w:rsid w:val="29BA46F0"/>
    <w:rsid w:val="2A0B0AA8"/>
    <w:rsid w:val="2A1A518F"/>
    <w:rsid w:val="2A21649B"/>
    <w:rsid w:val="2A354370"/>
    <w:rsid w:val="2A40615F"/>
    <w:rsid w:val="2A4B359A"/>
    <w:rsid w:val="2A900FAD"/>
    <w:rsid w:val="2A9860B3"/>
    <w:rsid w:val="2A9B200B"/>
    <w:rsid w:val="2ABE2C20"/>
    <w:rsid w:val="2AE41224"/>
    <w:rsid w:val="2AE44ECD"/>
    <w:rsid w:val="2AF75AE0"/>
    <w:rsid w:val="2B0269A3"/>
    <w:rsid w:val="2B0A0D5F"/>
    <w:rsid w:val="2B142FBB"/>
    <w:rsid w:val="2B23371E"/>
    <w:rsid w:val="2B30761D"/>
    <w:rsid w:val="2B3C09CB"/>
    <w:rsid w:val="2B3C253D"/>
    <w:rsid w:val="2B42499D"/>
    <w:rsid w:val="2B427E9C"/>
    <w:rsid w:val="2B4E3C62"/>
    <w:rsid w:val="2B653E8E"/>
    <w:rsid w:val="2B6C1A1A"/>
    <w:rsid w:val="2B740635"/>
    <w:rsid w:val="2B9D6128"/>
    <w:rsid w:val="2BA41F0E"/>
    <w:rsid w:val="2BAE2033"/>
    <w:rsid w:val="2BB60EE7"/>
    <w:rsid w:val="2BB818E7"/>
    <w:rsid w:val="2BBE4B59"/>
    <w:rsid w:val="2BCD368D"/>
    <w:rsid w:val="2BCF47A9"/>
    <w:rsid w:val="2BDA67DF"/>
    <w:rsid w:val="2BE27F2E"/>
    <w:rsid w:val="2BFB2D9E"/>
    <w:rsid w:val="2C0A5F00"/>
    <w:rsid w:val="2C3759DD"/>
    <w:rsid w:val="2C4B6A54"/>
    <w:rsid w:val="2C6139AF"/>
    <w:rsid w:val="2C7A3CC3"/>
    <w:rsid w:val="2C813E77"/>
    <w:rsid w:val="2C860EC1"/>
    <w:rsid w:val="2C8C71F7"/>
    <w:rsid w:val="2CA100DF"/>
    <w:rsid w:val="2CBD0053"/>
    <w:rsid w:val="2CC41EFE"/>
    <w:rsid w:val="2CF02F60"/>
    <w:rsid w:val="2CFC1EE7"/>
    <w:rsid w:val="2D063CF4"/>
    <w:rsid w:val="2D2610F8"/>
    <w:rsid w:val="2D302CC9"/>
    <w:rsid w:val="2D3C366E"/>
    <w:rsid w:val="2D5B017B"/>
    <w:rsid w:val="2D6942AF"/>
    <w:rsid w:val="2D7B57D9"/>
    <w:rsid w:val="2D8618C7"/>
    <w:rsid w:val="2D8B51B7"/>
    <w:rsid w:val="2D8E3368"/>
    <w:rsid w:val="2D925AC7"/>
    <w:rsid w:val="2D94508B"/>
    <w:rsid w:val="2D9867FA"/>
    <w:rsid w:val="2D9C30C6"/>
    <w:rsid w:val="2DA60AE7"/>
    <w:rsid w:val="2DA84031"/>
    <w:rsid w:val="2DB51CC2"/>
    <w:rsid w:val="2DB52678"/>
    <w:rsid w:val="2DD41AF8"/>
    <w:rsid w:val="2DEB45B2"/>
    <w:rsid w:val="2DFD1970"/>
    <w:rsid w:val="2E1B3283"/>
    <w:rsid w:val="2E4E6574"/>
    <w:rsid w:val="2E532ACB"/>
    <w:rsid w:val="2E6E7857"/>
    <w:rsid w:val="2E732B82"/>
    <w:rsid w:val="2E9D333E"/>
    <w:rsid w:val="2EB45BB2"/>
    <w:rsid w:val="2EC10CB4"/>
    <w:rsid w:val="2EE0091C"/>
    <w:rsid w:val="2EF6BE60"/>
    <w:rsid w:val="2F051E27"/>
    <w:rsid w:val="2F072880"/>
    <w:rsid w:val="2F10090E"/>
    <w:rsid w:val="2F19349B"/>
    <w:rsid w:val="2F3532DF"/>
    <w:rsid w:val="2F3B1D5C"/>
    <w:rsid w:val="2F3C0003"/>
    <w:rsid w:val="2F520D5B"/>
    <w:rsid w:val="2F520F27"/>
    <w:rsid w:val="2F610283"/>
    <w:rsid w:val="2F951C1D"/>
    <w:rsid w:val="2FAA78AD"/>
    <w:rsid w:val="2FB31BE0"/>
    <w:rsid w:val="2FC16F75"/>
    <w:rsid w:val="2FC37F57"/>
    <w:rsid w:val="2FEC073B"/>
    <w:rsid w:val="2FF005B4"/>
    <w:rsid w:val="300310AF"/>
    <w:rsid w:val="303B5E5F"/>
    <w:rsid w:val="304718C0"/>
    <w:rsid w:val="304A4CF7"/>
    <w:rsid w:val="305C0612"/>
    <w:rsid w:val="306F6FE9"/>
    <w:rsid w:val="30711601"/>
    <w:rsid w:val="30714674"/>
    <w:rsid w:val="30937A49"/>
    <w:rsid w:val="30A4709B"/>
    <w:rsid w:val="30A86283"/>
    <w:rsid w:val="30C24FE2"/>
    <w:rsid w:val="30C57B47"/>
    <w:rsid w:val="30D047F9"/>
    <w:rsid w:val="30F56190"/>
    <w:rsid w:val="311F308B"/>
    <w:rsid w:val="313E115B"/>
    <w:rsid w:val="31790FDA"/>
    <w:rsid w:val="317F0FFC"/>
    <w:rsid w:val="319C1BED"/>
    <w:rsid w:val="31A43590"/>
    <w:rsid w:val="31B01C68"/>
    <w:rsid w:val="31B92B8B"/>
    <w:rsid w:val="31C91C1F"/>
    <w:rsid w:val="31F41108"/>
    <w:rsid w:val="31F42E7B"/>
    <w:rsid w:val="31FA7FF1"/>
    <w:rsid w:val="32081EDE"/>
    <w:rsid w:val="321032EE"/>
    <w:rsid w:val="321C2B97"/>
    <w:rsid w:val="321D550B"/>
    <w:rsid w:val="322222E5"/>
    <w:rsid w:val="3236206D"/>
    <w:rsid w:val="324B0125"/>
    <w:rsid w:val="326F3131"/>
    <w:rsid w:val="327D2CDE"/>
    <w:rsid w:val="328114D6"/>
    <w:rsid w:val="328B0EC6"/>
    <w:rsid w:val="329A55CA"/>
    <w:rsid w:val="32A0619D"/>
    <w:rsid w:val="32BF45CF"/>
    <w:rsid w:val="32C24615"/>
    <w:rsid w:val="32CB2E07"/>
    <w:rsid w:val="32D550F7"/>
    <w:rsid w:val="32E24ED6"/>
    <w:rsid w:val="32E37B5A"/>
    <w:rsid w:val="32E8282B"/>
    <w:rsid w:val="32E90CF2"/>
    <w:rsid w:val="330A66D8"/>
    <w:rsid w:val="332F5F7E"/>
    <w:rsid w:val="333C6287"/>
    <w:rsid w:val="33857358"/>
    <w:rsid w:val="33947B5F"/>
    <w:rsid w:val="33B418F1"/>
    <w:rsid w:val="33B73ADB"/>
    <w:rsid w:val="33E64F58"/>
    <w:rsid w:val="33FE1F39"/>
    <w:rsid w:val="340116DE"/>
    <w:rsid w:val="34040D62"/>
    <w:rsid w:val="342A19EB"/>
    <w:rsid w:val="342B67BB"/>
    <w:rsid w:val="342D143B"/>
    <w:rsid w:val="343468C1"/>
    <w:rsid w:val="3442156A"/>
    <w:rsid w:val="345B3A67"/>
    <w:rsid w:val="34670FD0"/>
    <w:rsid w:val="34830AFA"/>
    <w:rsid w:val="34A54D5D"/>
    <w:rsid w:val="34A54D63"/>
    <w:rsid w:val="34BB756E"/>
    <w:rsid w:val="34BD73F9"/>
    <w:rsid w:val="34CE72A2"/>
    <w:rsid w:val="34DD74E5"/>
    <w:rsid w:val="34F279F7"/>
    <w:rsid w:val="3504321F"/>
    <w:rsid w:val="35133024"/>
    <w:rsid w:val="351F070D"/>
    <w:rsid w:val="35213875"/>
    <w:rsid w:val="35216B3A"/>
    <w:rsid w:val="35417231"/>
    <w:rsid w:val="3558334D"/>
    <w:rsid w:val="355A5B8E"/>
    <w:rsid w:val="3578004A"/>
    <w:rsid w:val="359B7BE8"/>
    <w:rsid w:val="359E7E5B"/>
    <w:rsid w:val="35B30926"/>
    <w:rsid w:val="35BC08A6"/>
    <w:rsid w:val="35D03732"/>
    <w:rsid w:val="35F542B6"/>
    <w:rsid w:val="35FE6F21"/>
    <w:rsid w:val="361A3DFF"/>
    <w:rsid w:val="362A675A"/>
    <w:rsid w:val="362B5EDA"/>
    <w:rsid w:val="362D7FF8"/>
    <w:rsid w:val="3648701C"/>
    <w:rsid w:val="36683923"/>
    <w:rsid w:val="366B2191"/>
    <w:rsid w:val="36864662"/>
    <w:rsid w:val="368B6C98"/>
    <w:rsid w:val="368F2A60"/>
    <w:rsid w:val="369D7BA7"/>
    <w:rsid w:val="36BA65F9"/>
    <w:rsid w:val="36CF10AF"/>
    <w:rsid w:val="36D026DB"/>
    <w:rsid w:val="36D39BB4"/>
    <w:rsid w:val="36D44917"/>
    <w:rsid w:val="36E2712F"/>
    <w:rsid w:val="36E56B24"/>
    <w:rsid w:val="36EE7056"/>
    <w:rsid w:val="36FF3AD9"/>
    <w:rsid w:val="37023452"/>
    <w:rsid w:val="37160652"/>
    <w:rsid w:val="37270EEB"/>
    <w:rsid w:val="372E4027"/>
    <w:rsid w:val="37307DA0"/>
    <w:rsid w:val="373F3388"/>
    <w:rsid w:val="3752599C"/>
    <w:rsid w:val="37585548"/>
    <w:rsid w:val="378A0041"/>
    <w:rsid w:val="37905A2C"/>
    <w:rsid w:val="379D15D1"/>
    <w:rsid w:val="37A44CBB"/>
    <w:rsid w:val="37B207B5"/>
    <w:rsid w:val="37C97E5F"/>
    <w:rsid w:val="37CA7728"/>
    <w:rsid w:val="37CF0A5C"/>
    <w:rsid w:val="37DA7D0B"/>
    <w:rsid w:val="37E91796"/>
    <w:rsid w:val="380165FA"/>
    <w:rsid w:val="380C7ECD"/>
    <w:rsid w:val="380F3C2B"/>
    <w:rsid w:val="381901B9"/>
    <w:rsid w:val="38290A28"/>
    <w:rsid w:val="38365EC5"/>
    <w:rsid w:val="384B7C9B"/>
    <w:rsid w:val="389566AD"/>
    <w:rsid w:val="389F058F"/>
    <w:rsid w:val="38AA1DD4"/>
    <w:rsid w:val="38AD71CE"/>
    <w:rsid w:val="38B35BDE"/>
    <w:rsid w:val="38B819FD"/>
    <w:rsid w:val="38BE7CCA"/>
    <w:rsid w:val="38C930F6"/>
    <w:rsid w:val="38F31085"/>
    <w:rsid w:val="39111E53"/>
    <w:rsid w:val="39506893"/>
    <w:rsid w:val="39644270"/>
    <w:rsid w:val="396A2670"/>
    <w:rsid w:val="39704AA9"/>
    <w:rsid w:val="39716334"/>
    <w:rsid w:val="39822409"/>
    <w:rsid w:val="39A20627"/>
    <w:rsid w:val="39AA6D2E"/>
    <w:rsid w:val="39FA2276"/>
    <w:rsid w:val="39FD3158"/>
    <w:rsid w:val="3A115F36"/>
    <w:rsid w:val="3A163E71"/>
    <w:rsid w:val="3A191E93"/>
    <w:rsid w:val="3A202F57"/>
    <w:rsid w:val="3A323E2F"/>
    <w:rsid w:val="3A5A0AA3"/>
    <w:rsid w:val="3A613F9D"/>
    <w:rsid w:val="3A671AAD"/>
    <w:rsid w:val="3A8208F9"/>
    <w:rsid w:val="3A9D33D9"/>
    <w:rsid w:val="3AB54C6B"/>
    <w:rsid w:val="3AB903F2"/>
    <w:rsid w:val="3ABD5DEE"/>
    <w:rsid w:val="3ADC781E"/>
    <w:rsid w:val="3AEC3141"/>
    <w:rsid w:val="3AF70BD4"/>
    <w:rsid w:val="3AF92B9E"/>
    <w:rsid w:val="3B2D7BB0"/>
    <w:rsid w:val="3B30241A"/>
    <w:rsid w:val="3B314930"/>
    <w:rsid w:val="3B392F9B"/>
    <w:rsid w:val="3B422101"/>
    <w:rsid w:val="3B905FF7"/>
    <w:rsid w:val="3BA86BBA"/>
    <w:rsid w:val="3BB92FCA"/>
    <w:rsid w:val="3BC46D08"/>
    <w:rsid w:val="3BC61B14"/>
    <w:rsid w:val="3BCB44CC"/>
    <w:rsid w:val="3BF2716B"/>
    <w:rsid w:val="3BF84C04"/>
    <w:rsid w:val="3BF8698F"/>
    <w:rsid w:val="3BFF681D"/>
    <w:rsid w:val="3BFFB47A"/>
    <w:rsid w:val="3C002944"/>
    <w:rsid w:val="3C0B0DDB"/>
    <w:rsid w:val="3C0B3222"/>
    <w:rsid w:val="3C1648AE"/>
    <w:rsid w:val="3C2E4DE7"/>
    <w:rsid w:val="3C392385"/>
    <w:rsid w:val="3C401190"/>
    <w:rsid w:val="3C5E0AC9"/>
    <w:rsid w:val="3C634773"/>
    <w:rsid w:val="3CA628B2"/>
    <w:rsid w:val="3CBB460D"/>
    <w:rsid w:val="3CBB7DAE"/>
    <w:rsid w:val="3CCA47F2"/>
    <w:rsid w:val="3CCA568F"/>
    <w:rsid w:val="3CD14128"/>
    <w:rsid w:val="3CE550F7"/>
    <w:rsid w:val="3D204622"/>
    <w:rsid w:val="3D334223"/>
    <w:rsid w:val="3D361F2A"/>
    <w:rsid w:val="3D421C50"/>
    <w:rsid w:val="3D4C2BB9"/>
    <w:rsid w:val="3D4D6987"/>
    <w:rsid w:val="3D536596"/>
    <w:rsid w:val="3D622A21"/>
    <w:rsid w:val="3D6D55E0"/>
    <w:rsid w:val="3D6F6B79"/>
    <w:rsid w:val="3D86695C"/>
    <w:rsid w:val="3D9170BE"/>
    <w:rsid w:val="3D951166"/>
    <w:rsid w:val="3D953ABF"/>
    <w:rsid w:val="3D965621"/>
    <w:rsid w:val="3D9A5D88"/>
    <w:rsid w:val="3D9F5C7F"/>
    <w:rsid w:val="3DD52610"/>
    <w:rsid w:val="3DE73CA7"/>
    <w:rsid w:val="3E0D3F8D"/>
    <w:rsid w:val="3E1A02CD"/>
    <w:rsid w:val="3E1D1ACD"/>
    <w:rsid w:val="3E415447"/>
    <w:rsid w:val="3E4905C6"/>
    <w:rsid w:val="3E4C778E"/>
    <w:rsid w:val="3E552E40"/>
    <w:rsid w:val="3E836830"/>
    <w:rsid w:val="3E882962"/>
    <w:rsid w:val="3EA72351"/>
    <w:rsid w:val="3EB219E2"/>
    <w:rsid w:val="3EB323EF"/>
    <w:rsid w:val="3EB63AA9"/>
    <w:rsid w:val="3EB76FF8"/>
    <w:rsid w:val="3EBA43F3"/>
    <w:rsid w:val="3EC633D8"/>
    <w:rsid w:val="3ED961E1"/>
    <w:rsid w:val="3EE86D7B"/>
    <w:rsid w:val="3EEB0A50"/>
    <w:rsid w:val="3EFB0EBA"/>
    <w:rsid w:val="3F0177AE"/>
    <w:rsid w:val="3F081252"/>
    <w:rsid w:val="3F213BE9"/>
    <w:rsid w:val="3F2F5E96"/>
    <w:rsid w:val="3F2F6B8F"/>
    <w:rsid w:val="3F5B50E7"/>
    <w:rsid w:val="3F70148D"/>
    <w:rsid w:val="3F796BE5"/>
    <w:rsid w:val="3FA550A3"/>
    <w:rsid w:val="3FA6268D"/>
    <w:rsid w:val="3FB660F0"/>
    <w:rsid w:val="3FBD063E"/>
    <w:rsid w:val="3FE931FA"/>
    <w:rsid w:val="40063D93"/>
    <w:rsid w:val="401271E1"/>
    <w:rsid w:val="402661E4"/>
    <w:rsid w:val="40467EA3"/>
    <w:rsid w:val="406F1510"/>
    <w:rsid w:val="40944B39"/>
    <w:rsid w:val="40971F84"/>
    <w:rsid w:val="40977F28"/>
    <w:rsid w:val="409B5CE1"/>
    <w:rsid w:val="40CE4DE4"/>
    <w:rsid w:val="40CE7C17"/>
    <w:rsid w:val="41003BF5"/>
    <w:rsid w:val="411B6DB9"/>
    <w:rsid w:val="413C3FE6"/>
    <w:rsid w:val="41445443"/>
    <w:rsid w:val="415816BB"/>
    <w:rsid w:val="41636E18"/>
    <w:rsid w:val="416C0190"/>
    <w:rsid w:val="41701E24"/>
    <w:rsid w:val="41E450AD"/>
    <w:rsid w:val="41F7273B"/>
    <w:rsid w:val="420D1771"/>
    <w:rsid w:val="420E6969"/>
    <w:rsid w:val="42185851"/>
    <w:rsid w:val="42351619"/>
    <w:rsid w:val="42377EA0"/>
    <w:rsid w:val="429C302F"/>
    <w:rsid w:val="42A45048"/>
    <w:rsid w:val="42AA753A"/>
    <w:rsid w:val="42B17F68"/>
    <w:rsid w:val="4306760F"/>
    <w:rsid w:val="430779E2"/>
    <w:rsid w:val="43396387"/>
    <w:rsid w:val="43536F3F"/>
    <w:rsid w:val="43586A5C"/>
    <w:rsid w:val="43633A26"/>
    <w:rsid w:val="43C2486C"/>
    <w:rsid w:val="43D84992"/>
    <w:rsid w:val="43EEC41F"/>
    <w:rsid w:val="43F2383F"/>
    <w:rsid w:val="43F44849"/>
    <w:rsid w:val="43F72B75"/>
    <w:rsid w:val="43FA2A19"/>
    <w:rsid w:val="43FF7C62"/>
    <w:rsid w:val="44006D4C"/>
    <w:rsid w:val="440A677A"/>
    <w:rsid w:val="44235FE6"/>
    <w:rsid w:val="44347832"/>
    <w:rsid w:val="4447006A"/>
    <w:rsid w:val="4457794A"/>
    <w:rsid w:val="447267CF"/>
    <w:rsid w:val="447500EF"/>
    <w:rsid w:val="44771BE8"/>
    <w:rsid w:val="44896D41"/>
    <w:rsid w:val="44926A65"/>
    <w:rsid w:val="44B837ED"/>
    <w:rsid w:val="44BE457F"/>
    <w:rsid w:val="44E31B64"/>
    <w:rsid w:val="44FA7C3F"/>
    <w:rsid w:val="451C07C9"/>
    <w:rsid w:val="453D24F9"/>
    <w:rsid w:val="454D67F7"/>
    <w:rsid w:val="457F1262"/>
    <w:rsid w:val="45866DE2"/>
    <w:rsid w:val="45C2437E"/>
    <w:rsid w:val="45C86472"/>
    <w:rsid w:val="45C974B4"/>
    <w:rsid w:val="45D2580F"/>
    <w:rsid w:val="45E701C3"/>
    <w:rsid w:val="45E75E74"/>
    <w:rsid w:val="45F178AB"/>
    <w:rsid w:val="45F73336"/>
    <w:rsid w:val="45FD4CB1"/>
    <w:rsid w:val="45FD55EE"/>
    <w:rsid w:val="462B3790"/>
    <w:rsid w:val="464570A4"/>
    <w:rsid w:val="46623CEE"/>
    <w:rsid w:val="466C3CA9"/>
    <w:rsid w:val="467E5247"/>
    <w:rsid w:val="468F661A"/>
    <w:rsid w:val="4698444A"/>
    <w:rsid w:val="469B220B"/>
    <w:rsid w:val="46A44F19"/>
    <w:rsid w:val="46AC31BB"/>
    <w:rsid w:val="46BB18C2"/>
    <w:rsid w:val="46CA0A5C"/>
    <w:rsid w:val="46E3360F"/>
    <w:rsid w:val="46F732D9"/>
    <w:rsid w:val="46F91A49"/>
    <w:rsid w:val="472D7E58"/>
    <w:rsid w:val="473C62ED"/>
    <w:rsid w:val="47480EF6"/>
    <w:rsid w:val="476D15F2"/>
    <w:rsid w:val="4771627F"/>
    <w:rsid w:val="47777325"/>
    <w:rsid w:val="479779C7"/>
    <w:rsid w:val="47A45C40"/>
    <w:rsid w:val="47A87EB3"/>
    <w:rsid w:val="47BE4F54"/>
    <w:rsid w:val="47D1337E"/>
    <w:rsid w:val="47D3469B"/>
    <w:rsid w:val="47E64674"/>
    <w:rsid w:val="47E758BF"/>
    <w:rsid w:val="47F42B7E"/>
    <w:rsid w:val="47FB6A31"/>
    <w:rsid w:val="4808470D"/>
    <w:rsid w:val="481241D1"/>
    <w:rsid w:val="48490748"/>
    <w:rsid w:val="48771F2F"/>
    <w:rsid w:val="4878355C"/>
    <w:rsid w:val="48963C6A"/>
    <w:rsid w:val="48B47F7B"/>
    <w:rsid w:val="48E2005B"/>
    <w:rsid w:val="49055158"/>
    <w:rsid w:val="490C03DA"/>
    <w:rsid w:val="490D46FC"/>
    <w:rsid w:val="491E41C1"/>
    <w:rsid w:val="49234EA6"/>
    <w:rsid w:val="4926607D"/>
    <w:rsid w:val="492A2C9F"/>
    <w:rsid w:val="493A4AAE"/>
    <w:rsid w:val="494D2A33"/>
    <w:rsid w:val="495A5150"/>
    <w:rsid w:val="497E1832"/>
    <w:rsid w:val="49861AA1"/>
    <w:rsid w:val="49926698"/>
    <w:rsid w:val="49952D8F"/>
    <w:rsid w:val="499E328F"/>
    <w:rsid w:val="49A74671"/>
    <w:rsid w:val="49C47E8A"/>
    <w:rsid w:val="49C8254A"/>
    <w:rsid w:val="49D7387F"/>
    <w:rsid w:val="49FF374A"/>
    <w:rsid w:val="4A1277D9"/>
    <w:rsid w:val="4A2C2648"/>
    <w:rsid w:val="4A3746C2"/>
    <w:rsid w:val="4A4C25D4"/>
    <w:rsid w:val="4A4F1DC3"/>
    <w:rsid w:val="4A7E5C24"/>
    <w:rsid w:val="4A842484"/>
    <w:rsid w:val="4A9C2587"/>
    <w:rsid w:val="4ABB3728"/>
    <w:rsid w:val="4AC7411F"/>
    <w:rsid w:val="4ADF645F"/>
    <w:rsid w:val="4AE2733A"/>
    <w:rsid w:val="4AEE78FE"/>
    <w:rsid w:val="4AF806C1"/>
    <w:rsid w:val="4B0C61BC"/>
    <w:rsid w:val="4B0E7FA0"/>
    <w:rsid w:val="4B166F41"/>
    <w:rsid w:val="4B1F5D09"/>
    <w:rsid w:val="4B3429B9"/>
    <w:rsid w:val="4B3A74FE"/>
    <w:rsid w:val="4B3E3CB0"/>
    <w:rsid w:val="4B8E41FF"/>
    <w:rsid w:val="4B983F80"/>
    <w:rsid w:val="4B9E32BD"/>
    <w:rsid w:val="4BB70638"/>
    <w:rsid w:val="4BC37337"/>
    <w:rsid w:val="4BEB611A"/>
    <w:rsid w:val="4BF826FB"/>
    <w:rsid w:val="4C0F2222"/>
    <w:rsid w:val="4C1A413A"/>
    <w:rsid w:val="4C1F6A9B"/>
    <w:rsid w:val="4C23056E"/>
    <w:rsid w:val="4C2B6930"/>
    <w:rsid w:val="4C2C4F2C"/>
    <w:rsid w:val="4C2F6CFB"/>
    <w:rsid w:val="4C387CBA"/>
    <w:rsid w:val="4C6A0153"/>
    <w:rsid w:val="4C6F4A6E"/>
    <w:rsid w:val="4C743835"/>
    <w:rsid w:val="4CAF130F"/>
    <w:rsid w:val="4CB8016E"/>
    <w:rsid w:val="4CC13C85"/>
    <w:rsid w:val="4CD62245"/>
    <w:rsid w:val="4CF5766A"/>
    <w:rsid w:val="4D2E0BA0"/>
    <w:rsid w:val="4D316E02"/>
    <w:rsid w:val="4D5044CC"/>
    <w:rsid w:val="4D5A571F"/>
    <w:rsid w:val="4D61520E"/>
    <w:rsid w:val="4D655557"/>
    <w:rsid w:val="4D706601"/>
    <w:rsid w:val="4D87403A"/>
    <w:rsid w:val="4D9113AD"/>
    <w:rsid w:val="4D9B6E34"/>
    <w:rsid w:val="4DED2B64"/>
    <w:rsid w:val="4DEE1904"/>
    <w:rsid w:val="4DF5539E"/>
    <w:rsid w:val="4E375A60"/>
    <w:rsid w:val="4E3F4E1B"/>
    <w:rsid w:val="4E45466F"/>
    <w:rsid w:val="4E454D68"/>
    <w:rsid w:val="4E626374"/>
    <w:rsid w:val="4E704779"/>
    <w:rsid w:val="4E724CEA"/>
    <w:rsid w:val="4E736DB7"/>
    <w:rsid w:val="4E742810"/>
    <w:rsid w:val="4E841C6D"/>
    <w:rsid w:val="4E9F0DB6"/>
    <w:rsid w:val="4EA15B5B"/>
    <w:rsid w:val="4EAA1D1E"/>
    <w:rsid w:val="4EAA2D6D"/>
    <w:rsid w:val="4EB25AF9"/>
    <w:rsid w:val="4ED96B17"/>
    <w:rsid w:val="4EEC23A6"/>
    <w:rsid w:val="4EF47F0C"/>
    <w:rsid w:val="4F0248B7"/>
    <w:rsid w:val="4F0C3F4E"/>
    <w:rsid w:val="4F2935FA"/>
    <w:rsid w:val="4F4B4017"/>
    <w:rsid w:val="4F661D46"/>
    <w:rsid w:val="4F681E4E"/>
    <w:rsid w:val="4F9B5B7A"/>
    <w:rsid w:val="4FAE243D"/>
    <w:rsid w:val="4FAF3CEE"/>
    <w:rsid w:val="4FB40370"/>
    <w:rsid w:val="4FB77A68"/>
    <w:rsid w:val="4FBC621D"/>
    <w:rsid w:val="4FCE0C5E"/>
    <w:rsid w:val="4FE36EE2"/>
    <w:rsid w:val="4FEB08B0"/>
    <w:rsid w:val="4FF31450"/>
    <w:rsid w:val="506058A1"/>
    <w:rsid w:val="507E71C5"/>
    <w:rsid w:val="50A218B6"/>
    <w:rsid w:val="50AD7A22"/>
    <w:rsid w:val="50B05148"/>
    <w:rsid w:val="50C77CC8"/>
    <w:rsid w:val="50D07538"/>
    <w:rsid w:val="50D91B6D"/>
    <w:rsid w:val="50F47C38"/>
    <w:rsid w:val="51086F86"/>
    <w:rsid w:val="512F6EC2"/>
    <w:rsid w:val="51430B2C"/>
    <w:rsid w:val="5148338E"/>
    <w:rsid w:val="515C2C15"/>
    <w:rsid w:val="516825B6"/>
    <w:rsid w:val="516A6BA1"/>
    <w:rsid w:val="517B0398"/>
    <w:rsid w:val="517B46AB"/>
    <w:rsid w:val="518510D7"/>
    <w:rsid w:val="51894824"/>
    <w:rsid w:val="51982C4D"/>
    <w:rsid w:val="51C4024D"/>
    <w:rsid w:val="51C74067"/>
    <w:rsid w:val="51CA2ACF"/>
    <w:rsid w:val="51CE7EB0"/>
    <w:rsid w:val="51E9637F"/>
    <w:rsid w:val="521265C8"/>
    <w:rsid w:val="52416EAD"/>
    <w:rsid w:val="525D25F7"/>
    <w:rsid w:val="526E7D50"/>
    <w:rsid w:val="5299110E"/>
    <w:rsid w:val="52C501C0"/>
    <w:rsid w:val="52CA29FF"/>
    <w:rsid w:val="52D76ADC"/>
    <w:rsid w:val="52E52E74"/>
    <w:rsid w:val="52ED493F"/>
    <w:rsid w:val="52F35BA3"/>
    <w:rsid w:val="52F9DF33"/>
    <w:rsid w:val="52FD1026"/>
    <w:rsid w:val="52FF74A0"/>
    <w:rsid w:val="53051C89"/>
    <w:rsid w:val="530D168E"/>
    <w:rsid w:val="53154596"/>
    <w:rsid w:val="53227641"/>
    <w:rsid w:val="532358E2"/>
    <w:rsid w:val="53371784"/>
    <w:rsid w:val="53430A03"/>
    <w:rsid w:val="53677571"/>
    <w:rsid w:val="536C5BBD"/>
    <w:rsid w:val="53755688"/>
    <w:rsid w:val="537E53B9"/>
    <w:rsid w:val="53803A05"/>
    <w:rsid w:val="53A01B89"/>
    <w:rsid w:val="53AF1153"/>
    <w:rsid w:val="53B155BB"/>
    <w:rsid w:val="53D2252A"/>
    <w:rsid w:val="53EC09EA"/>
    <w:rsid w:val="540208BE"/>
    <w:rsid w:val="54075114"/>
    <w:rsid w:val="54076F6D"/>
    <w:rsid w:val="541776E2"/>
    <w:rsid w:val="541F321E"/>
    <w:rsid w:val="543A0058"/>
    <w:rsid w:val="54424683"/>
    <w:rsid w:val="545738BA"/>
    <w:rsid w:val="546D255B"/>
    <w:rsid w:val="547F1F0F"/>
    <w:rsid w:val="54AD082A"/>
    <w:rsid w:val="54C95AAF"/>
    <w:rsid w:val="54D272FC"/>
    <w:rsid w:val="54DE1F99"/>
    <w:rsid w:val="54E659D8"/>
    <w:rsid w:val="54F10143"/>
    <w:rsid w:val="5519349A"/>
    <w:rsid w:val="552D49DB"/>
    <w:rsid w:val="55395351"/>
    <w:rsid w:val="553A18D4"/>
    <w:rsid w:val="55404783"/>
    <w:rsid w:val="554D5E65"/>
    <w:rsid w:val="555C5E19"/>
    <w:rsid w:val="555E7D76"/>
    <w:rsid w:val="556A23AE"/>
    <w:rsid w:val="558508A8"/>
    <w:rsid w:val="558C6CBB"/>
    <w:rsid w:val="559351F5"/>
    <w:rsid w:val="55A03EEB"/>
    <w:rsid w:val="55A67633"/>
    <w:rsid w:val="55C94D0E"/>
    <w:rsid w:val="55E31A5B"/>
    <w:rsid w:val="55FB56DE"/>
    <w:rsid w:val="562B232F"/>
    <w:rsid w:val="56303B30"/>
    <w:rsid w:val="564E1B99"/>
    <w:rsid w:val="56A31715"/>
    <w:rsid w:val="56B503B8"/>
    <w:rsid w:val="56D95DC1"/>
    <w:rsid w:val="56DD0123"/>
    <w:rsid w:val="56E00165"/>
    <w:rsid w:val="56E37DCE"/>
    <w:rsid w:val="56EC65CE"/>
    <w:rsid w:val="57145934"/>
    <w:rsid w:val="572137D8"/>
    <w:rsid w:val="57256C9C"/>
    <w:rsid w:val="57340D8E"/>
    <w:rsid w:val="574930D9"/>
    <w:rsid w:val="57687FC3"/>
    <w:rsid w:val="576A2A02"/>
    <w:rsid w:val="578A0A11"/>
    <w:rsid w:val="57934C1C"/>
    <w:rsid w:val="579B705F"/>
    <w:rsid w:val="579C22AA"/>
    <w:rsid w:val="57CA6CEF"/>
    <w:rsid w:val="57DC670D"/>
    <w:rsid w:val="5806384B"/>
    <w:rsid w:val="581110D0"/>
    <w:rsid w:val="58193F67"/>
    <w:rsid w:val="581C286A"/>
    <w:rsid w:val="58313520"/>
    <w:rsid w:val="5848681B"/>
    <w:rsid w:val="58621A59"/>
    <w:rsid w:val="588B44B8"/>
    <w:rsid w:val="58B04B30"/>
    <w:rsid w:val="58B727FB"/>
    <w:rsid w:val="590732C4"/>
    <w:rsid w:val="59154BEF"/>
    <w:rsid w:val="59254E33"/>
    <w:rsid w:val="592856EA"/>
    <w:rsid w:val="592B78BD"/>
    <w:rsid w:val="59345076"/>
    <w:rsid w:val="593C5C1B"/>
    <w:rsid w:val="594F6851"/>
    <w:rsid w:val="596C467E"/>
    <w:rsid w:val="598C1076"/>
    <w:rsid w:val="5996188C"/>
    <w:rsid w:val="59C44A0C"/>
    <w:rsid w:val="59D05429"/>
    <w:rsid w:val="59EA7E2A"/>
    <w:rsid w:val="59ED1B53"/>
    <w:rsid w:val="59F760A3"/>
    <w:rsid w:val="5A010AE1"/>
    <w:rsid w:val="5A043C9A"/>
    <w:rsid w:val="5A0858DE"/>
    <w:rsid w:val="5A094AA3"/>
    <w:rsid w:val="5A0A3C4C"/>
    <w:rsid w:val="5A10384E"/>
    <w:rsid w:val="5A184997"/>
    <w:rsid w:val="5A234256"/>
    <w:rsid w:val="5A250E62"/>
    <w:rsid w:val="5A2570B4"/>
    <w:rsid w:val="5A33532D"/>
    <w:rsid w:val="5A391E67"/>
    <w:rsid w:val="5A3F13FB"/>
    <w:rsid w:val="5A487F00"/>
    <w:rsid w:val="5A4D0406"/>
    <w:rsid w:val="5A4F5EDF"/>
    <w:rsid w:val="5A584D94"/>
    <w:rsid w:val="5A5A76B9"/>
    <w:rsid w:val="5A655703"/>
    <w:rsid w:val="5A9003F5"/>
    <w:rsid w:val="5A930319"/>
    <w:rsid w:val="5AB14F5A"/>
    <w:rsid w:val="5AB35595"/>
    <w:rsid w:val="5AB835FF"/>
    <w:rsid w:val="5AC216D8"/>
    <w:rsid w:val="5AC314CB"/>
    <w:rsid w:val="5AC80137"/>
    <w:rsid w:val="5AE76B9A"/>
    <w:rsid w:val="5B166AE8"/>
    <w:rsid w:val="5B1909C7"/>
    <w:rsid w:val="5B4A23D4"/>
    <w:rsid w:val="5B5D5913"/>
    <w:rsid w:val="5B7D3AD4"/>
    <w:rsid w:val="5B9672E4"/>
    <w:rsid w:val="5BB73D3C"/>
    <w:rsid w:val="5BBC3D8B"/>
    <w:rsid w:val="5BC74C13"/>
    <w:rsid w:val="5BD11DE8"/>
    <w:rsid w:val="5BF07EDE"/>
    <w:rsid w:val="5BF316E9"/>
    <w:rsid w:val="5BFE64F2"/>
    <w:rsid w:val="5C0A5E0D"/>
    <w:rsid w:val="5C0D3187"/>
    <w:rsid w:val="5C0E6052"/>
    <w:rsid w:val="5C593354"/>
    <w:rsid w:val="5C5F68AD"/>
    <w:rsid w:val="5C9B365E"/>
    <w:rsid w:val="5C9E682B"/>
    <w:rsid w:val="5CA93FCD"/>
    <w:rsid w:val="5CAD151B"/>
    <w:rsid w:val="5CEE19DF"/>
    <w:rsid w:val="5CF60894"/>
    <w:rsid w:val="5CF66F8D"/>
    <w:rsid w:val="5CFF708F"/>
    <w:rsid w:val="5D0D6309"/>
    <w:rsid w:val="5D107BA8"/>
    <w:rsid w:val="5D213B63"/>
    <w:rsid w:val="5D2D64DB"/>
    <w:rsid w:val="5D350C37"/>
    <w:rsid w:val="5D3E32B6"/>
    <w:rsid w:val="5D5302B3"/>
    <w:rsid w:val="5D69550A"/>
    <w:rsid w:val="5DCC7F73"/>
    <w:rsid w:val="5DDB6FB1"/>
    <w:rsid w:val="5DDF2CA0"/>
    <w:rsid w:val="5DFC0EBB"/>
    <w:rsid w:val="5E00019A"/>
    <w:rsid w:val="5E21648D"/>
    <w:rsid w:val="5E2B00B3"/>
    <w:rsid w:val="5E3818C6"/>
    <w:rsid w:val="5E3A0E09"/>
    <w:rsid w:val="5E546156"/>
    <w:rsid w:val="5E5802C6"/>
    <w:rsid w:val="5E584227"/>
    <w:rsid w:val="5E604B5F"/>
    <w:rsid w:val="5E79177D"/>
    <w:rsid w:val="5EA92062"/>
    <w:rsid w:val="5EE26529"/>
    <w:rsid w:val="5EE5D3F0"/>
    <w:rsid w:val="5EFF3852"/>
    <w:rsid w:val="5F0110F8"/>
    <w:rsid w:val="5F066460"/>
    <w:rsid w:val="5F0C4FAF"/>
    <w:rsid w:val="5F1C0EB4"/>
    <w:rsid w:val="5F2A1A11"/>
    <w:rsid w:val="5F3A53B0"/>
    <w:rsid w:val="5F4308F1"/>
    <w:rsid w:val="5F68008D"/>
    <w:rsid w:val="5F751F44"/>
    <w:rsid w:val="5F7C1524"/>
    <w:rsid w:val="5FA665A1"/>
    <w:rsid w:val="5FAF50D8"/>
    <w:rsid w:val="5FBB5D51"/>
    <w:rsid w:val="5FD463B4"/>
    <w:rsid w:val="5FD721F6"/>
    <w:rsid w:val="5FEB6C7E"/>
    <w:rsid w:val="5FF27A39"/>
    <w:rsid w:val="5FFE018B"/>
    <w:rsid w:val="60001B0E"/>
    <w:rsid w:val="601634EC"/>
    <w:rsid w:val="602A354A"/>
    <w:rsid w:val="605B00E4"/>
    <w:rsid w:val="60757923"/>
    <w:rsid w:val="6082700E"/>
    <w:rsid w:val="60836626"/>
    <w:rsid w:val="60A909FE"/>
    <w:rsid w:val="60B325F9"/>
    <w:rsid w:val="60CF38D6"/>
    <w:rsid w:val="60D80B98"/>
    <w:rsid w:val="60EB4BB4"/>
    <w:rsid w:val="60F952B9"/>
    <w:rsid w:val="60FD0F2E"/>
    <w:rsid w:val="611D4D06"/>
    <w:rsid w:val="61234CBD"/>
    <w:rsid w:val="614E1880"/>
    <w:rsid w:val="61810BE7"/>
    <w:rsid w:val="61905B49"/>
    <w:rsid w:val="61970898"/>
    <w:rsid w:val="61975ECD"/>
    <w:rsid w:val="619863BE"/>
    <w:rsid w:val="619D39D4"/>
    <w:rsid w:val="61A15691"/>
    <w:rsid w:val="61B44D92"/>
    <w:rsid w:val="61BE4076"/>
    <w:rsid w:val="61C43483"/>
    <w:rsid w:val="61D373F6"/>
    <w:rsid w:val="61E138C1"/>
    <w:rsid w:val="61EE49A3"/>
    <w:rsid w:val="61FC694D"/>
    <w:rsid w:val="621A7216"/>
    <w:rsid w:val="62547E61"/>
    <w:rsid w:val="626D1B67"/>
    <w:rsid w:val="62797F9D"/>
    <w:rsid w:val="628366D3"/>
    <w:rsid w:val="628B7DA5"/>
    <w:rsid w:val="62913F79"/>
    <w:rsid w:val="629C668B"/>
    <w:rsid w:val="629E4987"/>
    <w:rsid w:val="62A36DC8"/>
    <w:rsid w:val="62AF39BF"/>
    <w:rsid w:val="62B664A9"/>
    <w:rsid w:val="62C94646"/>
    <w:rsid w:val="62DF24F6"/>
    <w:rsid w:val="62DF363E"/>
    <w:rsid w:val="62FA7330"/>
    <w:rsid w:val="631261AF"/>
    <w:rsid w:val="63212B0F"/>
    <w:rsid w:val="63296F78"/>
    <w:rsid w:val="632C0677"/>
    <w:rsid w:val="63373817"/>
    <w:rsid w:val="635D1376"/>
    <w:rsid w:val="638C6736"/>
    <w:rsid w:val="63977DC5"/>
    <w:rsid w:val="639D27B3"/>
    <w:rsid w:val="63BF4DB2"/>
    <w:rsid w:val="63DB70A1"/>
    <w:rsid w:val="64041AE8"/>
    <w:rsid w:val="64162BD3"/>
    <w:rsid w:val="64221A37"/>
    <w:rsid w:val="6427449C"/>
    <w:rsid w:val="6428683C"/>
    <w:rsid w:val="642B52C7"/>
    <w:rsid w:val="643B60EF"/>
    <w:rsid w:val="64571D7F"/>
    <w:rsid w:val="646107A2"/>
    <w:rsid w:val="64696FD7"/>
    <w:rsid w:val="64715A0E"/>
    <w:rsid w:val="64794284"/>
    <w:rsid w:val="64837B62"/>
    <w:rsid w:val="64B91750"/>
    <w:rsid w:val="64BC5A2E"/>
    <w:rsid w:val="64C75269"/>
    <w:rsid w:val="64F1765E"/>
    <w:rsid w:val="64F26016"/>
    <w:rsid w:val="64FD6C64"/>
    <w:rsid w:val="650146AE"/>
    <w:rsid w:val="650A09C7"/>
    <w:rsid w:val="650C602D"/>
    <w:rsid w:val="651E2A3A"/>
    <w:rsid w:val="65242442"/>
    <w:rsid w:val="653363A1"/>
    <w:rsid w:val="65344017"/>
    <w:rsid w:val="654D0229"/>
    <w:rsid w:val="65986435"/>
    <w:rsid w:val="65AD2E4E"/>
    <w:rsid w:val="65BE38B8"/>
    <w:rsid w:val="65C445DE"/>
    <w:rsid w:val="65DC25DF"/>
    <w:rsid w:val="65DF6369"/>
    <w:rsid w:val="65E377E9"/>
    <w:rsid w:val="65E66F28"/>
    <w:rsid w:val="65E802DD"/>
    <w:rsid w:val="65E87E33"/>
    <w:rsid w:val="65ED5D84"/>
    <w:rsid w:val="65FB27D8"/>
    <w:rsid w:val="65FE1159"/>
    <w:rsid w:val="66270E43"/>
    <w:rsid w:val="663448A2"/>
    <w:rsid w:val="66486604"/>
    <w:rsid w:val="666D3AB5"/>
    <w:rsid w:val="66731E65"/>
    <w:rsid w:val="668807BF"/>
    <w:rsid w:val="669048C8"/>
    <w:rsid w:val="66A3383B"/>
    <w:rsid w:val="66BB6DD6"/>
    <w:rsid w:val="66BC2B90"/>
    <w:rsid w:val="66C0233E"/>
    <w:rsid w:val="66C51A03"/>
    <w:rsid w:val="66C93DB8"/>
    <w:rsid w:val="66D47E98"/>
    <w:rsid w:val="66D668C9"/>
    <w:rsid w:val="671D635B"/>
    <w:rsid w:val="67243CDD"/>
    <w:rsid w:val="672E37E0"/>
    <w:rsid w:val="673633F1"/>
    <w:rsid w:val="67612692"/>
    <w:rsid w:val="679E1A7C"/>
    <w:rsid w:val="67AD7705"/>
    <w:rsid w:val="67C45106"/>
    <w:rsid w:val="67E1320B"/>
    <w:rsid w:val="67E1461B"/>
    <w:rsid w:val="67E7250E"/>
    <w:rsid w:val="67F51BF1"/>
    <w:rsid w:val="67FA7F10"/>
    <w:rsid w:val="6811152D"/>
    <w:rsid w:val="68212C69"/>
    <w:rsid w:val="682A2E18"/>
    <w:rsid w:val="683926A8"/>
    <w:rsid w:val="684626D0"/>
    <w:rsid w:val="685B255F"/>
    <w:rsid w:val="685D7CCB"/>
    <w:rsid w:val="685E549B"/>
    <w:rsid w:val="686123A7"/>
    <w:rsid w:val="686314D3"/>
    <w:rsid w:val="687F018B"/>
    <w:rsid w:val="688356D2"/>
    <w:rsid w:val="689A20D2"/>
    <w:rsid w:val="68B03FED"/>
    <w:rsid w:val="68B7590B"/>
    <w:rsid w:val="68B973A8"/>
    <w:rsid w:val="68D72B63"/>
    <w:rsid w:val="68DE7E7C"/>
    <w:rsid w:val="68E72104"/>
    <w:rsid w:val="68FE2FAA"/>
    <w:rsid w:val="690E5E3C"/>
    <w:rsid w:val="694E73C9"/>
    <w:rsid w:val="695558C2"/>
    <w:rsid w:val="69674FF3"/>
    <w:rsid w:val="697969F5"/>
    <w:rsid w:val="69A240FE"/>
    <w:rsid w:val="69AB1EB2"/>
    <w:rsid w:val="69C15697"/>
    <w:rsid w:val="69C355AA"/>
    <w:rsid w:val="69D20A9C"/>
    <w:rsid w:val="69D313D0"/>
    <w:rsid w:val="6A0B1E23"/>
    <w:rsid w:val="6A320445"/>
    <w:rsid w:val="6A321963"/>
    <w:rsid w:val="6A3749C6"/>
    <w:rsid w:val="6A375D9B"/>
    <w:rsid w:val="6A38073E"/>
    <w:rsid w:val="6A6A6CCD"/>
    <w:rsid w:val="6A995F75"/>
    <w:rsid w:val="6AA221E6"/>
    <w:rsid w:val="6ACD0E86"/>
    <w:rsid w:val="6B264A3A"/>
    <w:rsid w:val="6B284529"/>
    <w:rsid w:val="6B2F7045"/>
    <w:rsid w:val="6B4102DC"/>
    <w:rsid w:val="6B48138D"/>
    <w:rsid w:val="6B7E4454"/>
    <w:rsid w:val="6B95409A"/>
    <w:rsid w:val="6BA736A7"/>
    <w:rsid w:val="6BB94E2D"/>
    <w:rsid w:val="6BC36E39"/>
    <w:rsid w:val="6BE034C5"/>
    <w:rsid w:val="6BED758D"/>
    <w:rsid w:val="6BFA2BED"/>
    <w:rsid w:val="6BFC3B49"/>
    <w:rsid w:val="6C063179"/>
    <w:rsid w:val="6C07486C"/>
    <w:rsid w:val="6C105850"/>
    <w:rsid w:val="6C2B5723"/>
    <w:rsid w:val="6C5E25FF"/>
    <w:rsid w:val="6C690749"/>
    <w:rsid w:val="6C6B741E"/>
    <w:rsid w:val="6C73171F"/>
    <w:rsid w:val="6C905899"/>
    <w:rsid w:val="6CAB3884"/>
    <w:rsid w:val="6CAC2FDC"/>
    <w:rsid w:val="6CDE1086"/>
    <w:rsid w:val="6CE142C9"/>
    <w:rsid w:val="6CE34991"/>
    <w:rsid w:val="6CEB5F3B"/>
    <w:rsid w:val="6CFE17CB"/>
    <w:rsid w:val="6D1F1987"/>
    <w:rsid w:val="6D266F73"/>
    <w:rsid w:val="6D4B3F19"/>
    <w:rsid w:val="6D504580"/>
    <w:rsid w:val="6D5835D1"/>
    <w:rsid w:val="6D605E1E"/>
    <w:rsid w:val="6D62473E"/>
    <w:rsid w:val="6D775557"/>
    <w:rsid w:val="6D897982"/>
    <w:rsid w:val="6D8A0652"/>
    <w:rsid w:val="6D985F43"/>
    <w:rsid w:val="6D9F553C"/>
    <w:rsid w:val="6DA00DBA"/>
    <w:rsid w:val="6DB86546"/>
    <w:rsid w:val="6DBA352F"/>
    <w:rsid w:val="6DC5053A"/>
    <w:rsid w:val="6DCA3DA3"/>
    <w:rsid w:val="6DCF1170"/>
    <w:rsid w:val="6DD04D3F"/>
    <w:rsid w:val="6DE36C13"/>
    <w:rsid w:val="6DEB2B4B"/>
    <w:rsid w:val="6E207F31"/>
    <w:rsid w:val="6E2A38BB"/>
    <w:rsid w:val="6E2E74DD"/>
    <w:rsid w:val="6E483EC4"/>
    <w:rsid w:val="6E4B7AFE"/>
    <w:rsid w:val="6E557E91"/>
    <w:rsid w:val="6E723A13"/>
    <w:rsid w:val="6E8A1EC8"/>
    <w:rsid w:val="6E8C1058"/>
    <w:rsid w:val="6EAD75FE"/>
    <w:rsid w:val="6EBE69D3"/>
    <w:rsid w:val="6EEF61E2"/>
    <w:rsid w:val="6EF70E2C"/>
    <w:rsid w:val="6EF93D37"/>
    <w:rsid w:val="6F227D1D"/>
    <w:rsid w:val="6F2C3A9A"/>
    <w:rsid w:val="6F2D79CC"/>
    <w:rsid w:val="6F3D6F7D"/>
    <w:rsid w:val="6F434296"/>
    <w:rsid w:val="6F584A8E"/>
    <w:rsid w:val="6F59348F"/>
    <w:rsid w:val="6F740924"/>
    <w:rsid w:val="6F942D9B"/>
    <w:rsid w:val="6FAA34B1"/>
    <w:rsid w:val="6FBD5AC4"/>
    <w:rsid w:val="6FDA1311"/>
    <w:rsid w:val="6FE56C72"/>
    <w:rsid w:val="6FEE0A7C"/>
    <w:rsid w:val="6FEF6742"/>
    <w:rsid w:val="700573AC"/>
    <w:rsid w:val="700B153E"/>
    <w:rsid w:val="70116F95"/>
    <w:rsid w:val="701309C4"/>
    <w:rsid w:val="701337DF"/>
    <w:rsid w:val="70232B8C"/>
    <w:rsid w:val="704F0096"/>
    <w:rsid w:val="705A41AE"/>
    <w:rsid w:val="7062408C"/>
    <w:rsid w:val="70AF5E5C"/>
    <w:rsid w:val="70BF3376"/>
    <w:rsid w:val="70C0691F"/>
    <w:rsid w:val="70CE5958"/>
    <w:rsid w:val="70D05D82"/>
    <w:rsid w:val="70D921AC"/>
    <w:rsid w:val="70ED70DB"/>
    <w:rsid w:val="70FC4273"/>
    <w:rsid w:val="710571BE"/>
    <w:rsid w:val="710E4D35"/>
    <w:rsid w:val="712771CA"/>
    <w:rsid w:val="71345B3C"/>
    <w:rsid w:val="71354195"/>
    <w:rsid w:val="71431EA2"/>
    <w:rsid w:val="71600CA6"/>
    <w:rsid w:val="71662163"/>
    <w:rsid w:val="716776B7"/>
    <w:rsid w:val="716860A6"/>
    <w:rsid w:val="71696088"/>
    <w:rsid w:val="716D33C3"/>
    <w:rsid w:val="717125E1"/>
    <w:rsid w:val="717209D9"/>
    <w:rsid w:val="717B788E"/>
    <w:rsid w:val="717C53B4"/>
    <w:rsid w:val="719426FE"/>
    <w:rsid w:val="71CA63D2"/>
    <w:rsid w:val="71DC12E7"/>
    <w:rsid w:val="71E371E1"/>
    <w:rsid w:val="71E80C9B"/>
    <w:rsid w:val="71EA1748"/>
    <w:rsid w:val="71EC078C"/>
    <w:rsid w:val="71F10739"/>
    <w:rsid w:val="72194DF2"/>
    <w:rsid w:val="721D6B97"/>
    <w:rsid w:val="721F0AE3"/>
    <w:rsid w:val="72255807"/>
    <w:rsid w:val="72347A3D"/>
    <w:rsid w:val="72520E15"/>
    <w:rsid w:val="72671129"/>
    <w:rsid w:val="72677E12"/>
    <w:rsid w:val="72693422"/>
    <w:rsid w:val="72730565"/>
    <w:rsid w:val="728B49B4"/>
    <w:rsid w:val="72C139C6"/>
    <w:rsid w:val="72C4515F"/>
    <w:rsid w:val="72C8649C"/>
    <w:rsid w:val="72CD17D3"/>
    <w:rsid w:val="72CE1C3F"/>
    <w:rsid w:val="72D5138A"/>
    <w:rsid w:val="72E70F53"/>
    <w:rsid w:val="73263829"/>
    <w:rsid w:val="7336792C"/>
    <w:rsid w:val="733749E1"/>
    <w:rsid w:val="734928DA"/>
    <w:rsid w:val="73513C4A"/>
    <w:rsid w:val="73595CAF"/>
    <w:rsid w:val="735D4328"/>
    <w:rsid w:val="73654622"/>
    <w:rsid w:val="736933F8"/>
    <w:rsid w:val="73AC687A"/>
    <w:rsid w:val="73EC4A73"/>
    <w:rsid w:val="73ED07EB"/>
    <w:rsid w:val="74165F8D"/>
    <w:rsid w:val="7420654E"/>
    <w:rsid w:val="744C3764"/>
    <w:rsid w:val="746062E2"/>
    <w:rsid w:val="746C00DB"/>
    <w:rsid w:val="746F697E"/>
    <w:rsid w:val="74830E88"/>
    <w:rsid w:val="74910BBC"/>
    <w:rsid w:val="74963463"/>
    <w:rsid w:val="74A47D52"/>
    <w:rsid w:val="74A975E4"/>
    <w:rsid w:val="74C54FE2"/>
    <w:rsid w:val="74CD12F0"/>
    <w:rsid w:val="74E71A04"/>
    <w:rsid w:val="74F34647"/>
    <w:rsid w:val="74F6547D"/>
    <w:rsid w:val="74FC79CA"/>
    <w:rsid w:val="75013D14"/>
    <w:rsid w:val="752443AC"/>
    <w:rsid w:val="754447FC"/>
    <w:rsid w:val="75687E97"/>
    <w:rsid w:val="756B5E01"/>
    <w:rsid w:val="75756AD4"/>
    <w:rsid w:val="75825D9B"/>
    <w:rsid w:val="75B74925"/>
    <w:rsid w:val="75BF167C"/>
    <w:rsid w:val="75CF63FA"/>
    <w:rsid w:val="75D05985"/>
    <w:rsid w:val="75E8126A"/>
    <w:rsid w:val="75F20D45"/>
    <w:rsid w:val="76067942"/>
    <w:rsid w:val="760D6F22"/>
    <w:rsid w:val="762A6006"/>
    <w:rsid w:val="763435E0"/>
    <w:rsid w:val="76386AC4"/>
    <w:rsid w:val="763B54E9"/>
    <w:rsid w:val="763E52B8"/>
    <w:rsid w:val="766068A3"/>
    <w:rsid w:val="76612DCA"/>
    <w:rsid w:val="7667143A"/>
    <w:rsid w:val="766D2C5E"/>
    <w:rsid w:val="7694740D"/>
    <w:rsid w:val="769720E3"/>
    <w:rsid w:val="76B22FC3"/>
    <w:rsid w:val="76C360DC"/>
    <w:rsid w:val="76C96A69"/>
    <w:rsid w:val="76D649A4"/>
    <w:rsid w:val="76F459ED"/>
    <w:rsid w:val="76F930DC"/>
    <w:rsid w:val="76FA85C7"/>
    <w:rsid w:val="77005040"/>
    <w:rsid w:val="770E154F"/>
    <w:rsid w:val="771D3195"/>
    <w:rsid w:val="771E2BFD"/>
    <w:rsid w:val="772272B6"/>
    <w:rsid w:val="77616F8B"/>
    <w:rsid w:val="77636315"/>
    <w:rsid w:val="778B3A75"/>
    <w:rsid w:val="77912DB1"/>
    <w:rsid w:val="779266A7"/>
    <w:rsid w:val="77B27C24"/>
    <w:rsid w:val="77C4798D"/>
    <w:rsid w:val="77EC3318"/>
    <w:rsid w:val="77EE068E"/>
    <w:rsid w:val="784D5938"/>
    <w:rsid w:val="78672576"/>
    <w:rsid w:val="7879384A"/>
    <w:rsid w:val="7880578A"/>
    <w:rsid w:val="788B51B3"/>
    <w:rsid w:val="788E7035"/>
    <w:rsid w:val="78A328FA"/>
    <w:rsid w:val="78A61E8F"/>
    <w:rsid w:val="78A91184"/>
    <w:rsid w:val="78AF3026"/>
    <w:rsid w:val="78BD2F4B"/>
    <w:rsid w:val="78CB7BC7"/>
    <w:rsid w:val="78D96650"/>
    <w:rsid w:val="78E0091E"/>
    <w:rsid w:val="78EB02D7"/>
    <w:rsid w:val="78FE39E6"/>
    <w:rsid w:val="79273E57"/>
    <w:rsid w:val="792E1A22"/>
    <w:rsid w:val="79373DF6"/>
    <w:rsid w:val="79382508"/>
    <w:rsid w:val="79444D67"/>
    <w:rsid w:val="794A026F"/>
    <w:rsid w:val="79516F21"/>
    <w:rsid w:val="797812A2"/>
    <w:rsid w:val="79A67472"/>
    <w:rsid w:val="79C268F7"/>
    <w:rsid w:val="79CE0777"/>
    <w:rsid w:val="79D614B5"/>
    <w:rsid w:val="79EA0DBB"/>
    <w:rsid w:val="79FF721B"/>
    <w:rsid w:val="7A0128FA"/>
    <w:rsid w:val="7A221089"/>
    <w:rsid w:val="7A3A61AE"/>
    <w:rsid w:val="7A3C512A"/>
    <w:rsid w:val="7A4337CB"/>
    <w:rsid w:val="7A505630"/>
    <w:rsid w:val="7A5473AF"/>
    <w:rsid w:val="7A685599"/>
    <w:rsid w:val="7A730732"/>
    <w:rsid w:val="7A79605C"/>
    <w:rsid w:val="7A862C70"/>
    <w:rsid w:val="7AA76065"/>
    <w:rsid w:val="7AAE6754"/>
    <w:rsid w:val="7AB03169"/>
    <w:rsid w:val="7AB12572"/>
    <w:rsid w:val="7AB21E46"/>
    <w:rsid w:val="7AB70242"/>
    <w:rsid w:val="7AC35E02"/>
    <w:rsid w:val="7AC54B3A"/>
    <w:rsid w:val="7AC65F62"/>
    <w:rsid w:val="7ACF5F22"/>
    <w:rsid w:val="7AE405F4"/>
    <w:rsid w:val="7AF64429"/>
    <w:rsid w:val="7AF66332"/>
    <w:rsid w:val="7AFF3F4D"/>
    <w:rsid w:val="7B017E3A"/>
    <w:rsid w:val="7B05641A"/>
    <w:rsid w:val="7B137599"/>
    <w:rsid w:val="7B2F5245"/>
    <w:rsid w:val="7B500560"/>
    <w:rsid w:val="7B503B39"/>
    <w:rsid w:val="7B51165F"/>
    <w:rsid w:val="7B696D53"/>
    <w:rsid w:val="7B6B5A75"/>
    <w:rsid w:val="7B883B97"/>
    <w:rsid w:val="7B9B28DB"/>
    <w:rsid w:val="7B9D48A5"/>
    <w:rsid w:val="7BA43E85"/>
    <w:rsid w:val="7BA50CDA"/>
    <w:rsid w:val="7BCF32DB"/>
    <w:rsid w:val="7BDE070E"/>
    <w:rsid w:val="7BEC5703"/>
    <w:rsid w:val="7BEC6739"/>
    <w:rsid w:val="7C1A706F"/>
    <w:rsid w:val="7C1F4F84"/>
    <w:rsid w:val="7C2B3C5E"/>
    <w:rsid w:val="7C2C3968"/>
    <w:rsid w:val="7C366162"/>
    <w:rsid w:val="7C4838A5"/>
    <w:rsid w:val="7C4B4301"/>
    <w:rsid w:val="7C4F065D"/>
    <w:rsid w:val="7C4F1EB7"/>
    <w:rsid w:val="7C742777"/>
    <w:rsid w:val="7C7575D0"/>
    <w:rsid w:val="7C7D364A"/>
    <w:rsid w:val="7C9D6A4C"/>
    <w:rsid w:val="7CA83501"/>
    <w:rsid w:val="7CAE5097"/>
    <w:rsid w:val="7CB314E0"/>
    <w:rsid w:val="7CBB1486"/>
    <w:rsid w:val="7CBE0293"/>
    <w:rsid w:val="7CC000FF"/>
    <w:rsid w:val="7CC04CEF"/>
    <w:rsid w:val="7CDA7E91"/>
    <w:rsid w:val="7CE7227B"/>
    <w:rsid w:val="7CEB17F5"/>
    <w:rsid w:val="7CFD7CD3"/>
    <w:rsid w:val="7D126BCC"/>
    <w:rsid w:val="7D153726"/>
    <w:rsid w:val="7D2870DA"/>
    <w:rsid w:val="7D2E790F"/>
    <w:rsid w:val="7D4C327E"/>
    <w:rsid w:val="7D557602"/>
    <w:rsid w:val="7D8345E9"/>
    <w:rsid w:val="7D85545B"/>
    <w:rsid w:val="7D974A5F"/>
    <w:rsid w:val="7D99E78B"/>
    <w:rsid w:val="7DCC03A7"/>
    <w:rsid w:val="7DD07C64"/>
    <w:rsid w:val="7DDFD8DB"/>
    <w:rsid w:val="7DF14E63"/>
    <w:rsid w:val="7E04598F"/>
    <w:rsid w:val="7E08534D"/>
    <w:rsid w:val="7E372D8F"/>
    <w:rsid w:val="7E3C5FAA"/>
    <w:rsid w:val="7E5F4018"/>
    <w:rsid w:val="7E693F80"/>
    <w:rsid w:val="7E7140DC"/>
    <w:rsid w:val="7E7B59E0"/>
    <w:rsid w:val="7E9B156F"/>
    <w:rsid w:val="7EA650F0"/>
    <w:rsid w:val="7EB72204"/>
    <w:rsid w:val="7EBC7D7B"/>
    <w:rsid w:val="7EC3482A"/>
    <w:rsid w:val="7EC5039A"/>
    <w:rsid w:val="7ED7C682"/>
    <w:rsid w:val="7EDF1A24"/>
    <w:rsid w:val="7EE37A26"/>
    <w:rsid w:val="7EFAA8CD"/>
    <w:rsid w:val="7EFC18E2"/>
    <w:rsid w:val="7EFF4FE1"/>
    <w:rsid w:val="7F097B31"/>
    <w:rsid w:val="7F0A0697"/>
    <w:rsid w:val="7F246689"/>
    <w:rsid w:val="7F2B0EE4"/>
    <w:rsid w:val="7F2C0C33"/>
    <w:rsid w:val="7F3114FE"/>
    <w:rsid w:val="7F3E42ED"/>
    <w:rsid w:val="7F482D79"/>
    <w:rsid w:val="7F4E65E2"/>
    <w:rsid w:val="7FA23E8E"/>
    <w:rsid w:val="7FB8C763"/>
    <w:rsid w:val="7FC76B56"/>
    <w:rsid w:val="7FCA1E70"/>
    <w:rsid w:val="7FDD7609"/>
    <w:rsid w:val="7FED0AEA"/>
    <w:rsid w:val="7FEE55CA"/>
    <w:rsid w:val="7FF706D4"/>
    <w:rsid w:val="7FFF850F"/>
    <w:rsid w:val="9DEB0E26"/>
    <w:rsid w:val="9E9FB777"/>
    <w:rsid w:val="A77F0A26"/>
    <w:rsid w:val="B38FD184"/>
    <w:rsid w:val="CEC99A7C"/>
    <w:rsid w:val="D3F7BFA8"/>
    <w:rsid w:val="DD7FEBC9"/>
    <w:rsid w:val="EE7F464C"/>
    <w:rsid w:val="EFFFBDCB"/>
    <w:rsid w:val="F4F7276A"/>
    <w:rsid w:val="F4FE46E8"/>
    <w:rsid w:val="F7AFD88E"/>
    <w:rsid w:val="F7DB9C53"/>
    <w:rsid w:val="FBBEE547"/>
    <w:rsid w:val="FBFFAB31"/>
    <w:rsid w:val="FD1F2081"/>
    <w:rsid w:val="FF77636C"/>
    <w:rsid w:val="FFB773F6"/>
    <w:rsid w:val="FFDCF63D"/>
    <w:rsid w:val="FFEAC2A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600" w:firstLineChars="200"/>
      <w:jc w:val="both"/>
    </w:pPr>
    <w:rPr>
      <w:rFonts w:ascii="仿宋_GB2312" w:hAnsi="黑体" w:eastAsia="仿宋_GB2312" w:cs="仿宋"/>
      <w:kern w:val="2"/>
      <w:sz w:val="30"/>
      <w:szCs w:val="30"/>
      <w:lang w:val="en-US" w:eastAsia="zh-CN" w:bidi="ar-SA"/>
    </w:rPr>
  </w:style>
  <w:style w:type="paragraph" w:styleId="2">
    <w:name w:val="heading 2"/>
    <w:basedOn w:val="1"/>
    <w:next w:val="1"/>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autoRedefine/>
    <w:qFormat/>
    <w:uiPriority w:val="0"/>
    <w:pPr>
      <w:jc w:val="left"/>
    </w:pPr>
  </w:style>
  <w:style w:type="paragraph" w:styleId="4">
    <w:name w:val="Balloon Text"/>
    <w:basedOn w:val="1"/>
    <w:link w:val="21"/>
    <w:autoRedefine/>
    <w:qFormat/>
    <w:uiPriority w:val="0"/>
    <w:rPr>
      <w:sz w:val="18"/>
      <w:szCs w:val="18"/>
    </w:rPr>
  </w:style>
  <w:style w:type="paragraph" w:styleId="5">
    <w:name w:val="footer"/>
    <w:basedOn w:val="1"/>
    <w:link w:val="17"/>
    <w:autoRedefine/>
    <w:qFormat/>
    <w:uiPriority w:val="99"/>
    <w:pPr>
      <w:tabs>
        <w:tab w:val="center" w:pos="4153"/>
        <w:tab w:val="right" w:pos="8306"/>
      </w:tabs>
      <w:snapToGrid w:val="0"/>
      <w:jc w:val="left"/>
    </w:pPr>
    <w:rPr>
      <w:sz w:val="18"/>
      <w:szCs w:val="18"/>
    </w:rPr>
  </w:style>
  <w:style w:type="paragraph" w:styleId="6">
    <w:name w:val="header"/>
    <w:basedOn w:val="1"/>
    <w:link w:val="26"/>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autoRedefine/>
    <w:qFormat/>
    <w:uiPriority w:val="0"/>
  </w:style>
  <w:style w:type="paragraph" w:styleId="8">
    <w:name w:val="toc 2"/>
    <w:basedOn w:val="1"/>
    <w:next w:val="1"/>
    <w:autoRedefine/>
    <w:qFormat/>
    <w:uiPriority w:val="0"/>
    <w:pPr>
      <w:ind w:left="420" w:leftChars="200"/>
    </w:pPr>
  </w:style>
  <w:style w:type="paragraph" w:styleId="9">
    <w:name w:val="annotation subject"/>
    <w:basedOn w:val="3"/>
    <w:next w:val="3"/>
    <w:link w:val="20"/>
    <w:autoRedefine/>
    <w:qFormat/>
    <w:uiPriority w:val="0"/>
    <w:rPr>
      <w:b/>
      <w:bCs/>
    </w:rPr>
  </w:style>
  <w:style w:type="table" w:styleId="11">
    <w:name w:val="Table Grid"/>
    <w:basedOn w:val="10"/>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autoRedefine/>
    <w:qFormat/>
    <w:uiPriority w:val="0"/>
    <w:rPr>
      <w:rFonts w:eastAsia="宋体" w:cs="Times New Roman"/>
      <w:sz w:val="22"/>
      <w:szCs w:val="22"/>
      <w:lang w:eastAsia="zh-CN"/>
    </w:rPr>
  </w:style>
  <w:style w:type="character" w:styleId="14">
    <w:name w:val="annotation reference"/>
    <w:basedOn w:val="12"/>
    <w:autoRedefine/>
    <w:qFormat/>
    <w:uiPriority w:val="0"/>
    <w:rPr>
      <w:sz w:val="21"/>
      <w:szCs w:val="21"/>
    </w:rPr>
  </w:style>
  <w:style w:type="paragraph" w:customStyle="1" w:styleId="15">
    <w:name w:val="列表段落1"/>
    <w:basedOn w:val="1"/>
    <w:autoRedefine/>
    <w:qFormat/>
    <w:uiPriority w:val="99"/>
    <w:pPr>
      <w:ind w:firstLine="420"/>
    </w:pPr>
  </w:style>
  <w:style w:type="table" w:customStyle="1" w:styleId="16">
    <w:name w:val="Table Normal"/>
    <w:autoRedefine/>
    <w:unhideWhenUsed/>
    <w:qFormat/>
    <w:uiPriority w:val="0"/>
    <w:tblPr>
      <w:tblCellMar>
        <w:top w:w="0" w:type="dxa"/>
        <w:left w:w="0" w:type="dxa"/>
        <w:bottom w:w="0" w:type="dxa"/>
        <w:right w:w="0" w:type="dxa"/>
      </w:tblCellMar>
    </w:tblPr>
  </w:style>
  <w:style w:type="character" w:customStyle="1" w:styleId="17">
    <w:name w:val="页脚 字符"/>
    <w:basedOn w:val="12"/>
    <w:link w:val="5"/>
    <w:autoRedefine/>
    <w:qFormat/>
    <w:uiPriority w:val="99"/>
    <w:rPr>
      <w:rFonts w:asciiTheme="minorHAnsi" w:hAnsiTheme="minorHAnsi" w:eastAsiaTheme="minorEastAsia" w:cstheme="minorBidi"/>
      <w:kern w:val="2"/>
      <w:sz w:val="18"/>
      <w:szCs w:val="18"/>
    </w:rPr>
  </w:style>
  <w:style w:type="paragraph" w:customStyle="1" w:styleId="18">
    <w:name w:val="Body text|1"/>
    <w:basedOn w:val="1"/>
    <w:autoRedefine/>
    <w:qFormat/>
    <w:uiPriority w:val="0"/>
    <w:pPr>
      <w:spacing w:line="437" w:lineRule="auto"/>
      <w:ind w:firstLine="400"/>
    </w:pPr>
    <w:rPr>
      <w:rFonts w:ascii="宋体" w:hAnsi="宋体" w:eastAsia="宋体" w:cs="宋体"/>
      <w:sz w:val="28"/>
      <w:szCs w:val="28"/>
      <w:lang w:val="zh-TW" w:eastAsia="zh-TW" w:bidi="zh-TW"/>
    </w:rPr>
  </w:style>
  <w:style w:type="character" w:customStyle="1" w:styleId="19">
    <w:name w:val="批注文字 字符"/>
    <w:basedOn w:val="12"/>
    <w:link w:val="3"/>
    <w:autoRedefine/>
    <w:qFormat/>
    <w:uiPriority w:val="0"/>
    <w:rPr>
      <w:rFonts w:asciiTheme="minorHAnsi" w:hAnsiTheme="minorHAnsi" w:eastAsiaTheme="minorEastAsia" w:cstheme="minorBidi"/>
      <w:kern w:val="2"/>
      <w:sz w:val="21"/>
      <w:szCs w:val="22"/>
    </w:rPr>
  </w:style>
  <w:style w:type="character" w:customStyle="1" w:styleId="20">
    <w:name w:val="批注主题 字符"/>
    <w:basedOn w:val="19"/>
    <w:link w:val="9"/>
    <w:autoRedefine/>
    <w:qFormat/>
    <w:uiPriority w:val="0"/>
    <w:rPr>
      <w:rFonts w:asciiTheme="minorHAnsi" w:hAnsiTheme="minorHAnsi" w:eastAsiaTheme="minorEastAsia" w:cstheme="minorBidi"/>
      <w:b/>
      <w:bCs/>
      <w:kern w:val="2"/>
      <w:sz w:val="21"/>
      <w:szCs w:val="22"/>
    </w:rPr>
  </w:style>
  <w:style w:type="character" w:customStyle="1" w:styleId="21">
    <w:name w:val="批注框文本 字符"/>
    <w:basedOn w:val="12"/>
    <w:link w:val="4"/>
    <w:autoRedefine/>
    <w:qFormat/>
    <w:uiPriority w:val="0"/>
    <w:rPr>
      <w:rFonts w:asciiTheme="minorHAnsi" w:hAnsiTheme="minorHAnsi" w:eastAsiaTheme="minorEastAsia" w:cstheme="minorBidi"/>
      <w:kern w:val="2"/>
      <w:sz w:val="18"/>
      <w:szCs w:val="18"/>
    </w:rPr>
  </w:style>
  <w:style w:type="paragraph" w:customStyle="1" w:styleId="22">
    <w:name w:val="列表段落11"/>
    <w:basedOn w:val="1"/>
    <w:autoRedefine/>
    <w:qFormat/>
    <w:uiPriority w:val="99"/>
    <w:pPr>
      <w:ind w:firstLine="420"/>
    </w:pPr>
  </w:style>
  <w:style w:type="paragraph" w:customStyle="1" w:styleId="23">
    <w:name w:val="WPSOffice手动目录 1"/>
    <w:autoRedefine/>
    <w:qFormat/>
    <w:uiPriority w:val="0"/>
    <w:rPr>
      <w:rFonts w:ascii="Times New Roman" w:hAnsi="Times New Roman" w:eastAsia="宋体" w:cs="Times New Roman"/>
      <w:lang w:val="en-US" w:eastAsia="zh-CN" w:bidi="ar-SA"/>
    </w:rPr>
  </w:style>
  <w:style w:type="paragraph" w:customStyle="1" w:styleId="24">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25">
    <w:name w:val="页脚 Char"/>
    <w:autoRedefine/>
    <w:qFormat/>
    <w:locked/>
    <w:uiPriority w:val="99"/>
    <w:rPr>
      <w:rFonts w:cs="Times New Roman"/>
      <w:sz w:val="18"/>
      <w:szCs w:val="18"/>
    </w:rPr>
  </w:style>
  <w:style w:type="character" w:customStyle="1" w:styleId="26">
    <w:name w:val="页眉 字符"/>
    <w:link w:val="6"/>
    <w:autoRedefine/>
    <w:qFormat/>
    <w:locked/>
    <w:uiPriority w:val="99"/>
    <w:rPr>
      <w:rFonts w:asciiTheme="minorHAnsi" w:hAnsiTheme="minorHAnsi" w:eastAsiaTheme="minorEastAsia" w:cstheme="minorBidi"/>
      <w:kern w:val="2"/>
      <w:sz w:val="18"/>
      <w:szCs w:val="22"/>
    </w:rPr>
  </w:style>
  <w:style w:type="paragraph" w:customStyle="1" w:styleId="27">
    <w:name w:val="样式3"/>
    <w:basedOn w:val="1"/>
    <w:link w:val="28"/>
    <w:autoRedefine/>
    <w:qFormat/>
    <w:uiPriority w:val="0"/>
    <w:pPr>
      <w:tabs>
        <w:tab w:val="left" w:pos="0"/>
        <w:tab w:val="center" w:pos="4153"/>
        <w:tab w:val="right" w:pos="8306"/>
      </w:tabs>
      <w:snapToGrid w:val="0"/>
      <w:ind w:firstLine="200"/>
      <w:jc w:val="center"/>
    </w:pPr>
    <w:rPr>
      <w:rFonts w:ascii="Times New Roman" w:hAnsi="Times New Roman" w:eastAsia="宋体" w:cs="Times New Roman"/>
      <w:kern w:val="0"/>
      <w:sz w:val="28"/>
      <w:szCs w:val="18"/>
      <w:lang w:val="zh-CN"/>
    </w:rPr>
  </w:style>
  <w:style w:type="character" w:customStyle="1" w:styleId="28">
    <w:name w:val="样式3 Char"/>
    <w:link w:val="27"/>
    <w:autoRedefine/>
    <w:qFormat/>
    <w:uiPriority w:val="0"/>
    <w:rPr>
      <w:sz w:val="28"/>
      <w:szCs w:val="18"/>
      <w:lang w:val="zh-CN" w:eastAsia="zh-CN"/>
    </w:rPr>
  </w:style>
  <w:style w:type="character" w:customStyle="1" w:styleId="29">
    <w:name w:val="页眉 Char"/>
    <w:autoRedefine/>
    <w:qFormat/>
    <w:locked/>
    <w:uiPriority w:val="0"/>
    <w:rPr>
      <w:sz w:val="18"/>
      <w:szCs w:val="18"/>
    </w:rPr>
  </w:style>
  <w:style w:type="paragraph" w:styleId="30">
    <w:name w:val="List Paragraph"/>
    <w:basedOn w:val="1"/>
    <w:autoRedefine/>
    <w:unhideWhenUsed/>
    <w:qFormat/>
    <w:uiPriority w:val="99"/>
    <w:pPr>
      <w:ind w:firstLine="420"/>
    </w:pPr>
  </w:style>
  <w:style w:type="paragraph" w:customStyle="1" w:styleId="31">
    <w:name w:val="Revision"/>
    <w:hidden/>
    <w:unhideWhenUsed/>
    <w:qFormat/>
    <w:uiPriority w:val="99"/>
    <w:rPr>
      <w:rFonts w:ascii="仿宋_GB2312" w:hAnsi="黑体" w:eastAsia="仿宋_GB2312" w:cs="仿宋"/>
      <w:kern w:val="2"/>
      <w:sz w:val="30"/>
      <w:szCs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27</Pages>
  <Words>8159</Words>
  <Characters>8298</Characters>
  <Lines>66</Lines>
  <Paragraphs>18</Paragraphs>
  <TotalTime>87</TotalTime>
  <ScaleCrop>false</ScaleCrop>
  <LinksUpToDate>false</LinksUpToDate>
  <CharactersWithSpaces>8713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2024-09-05T08:08:00Z</dcterms:created>
  <dc:creator>丁丁本主</dc:creator>
  <cp:lastModifiedBy>欧阳立成</cp:lastModifiedBy>
  <dcterms:modified xsi:type="dcterms:W3CDTF">2024-09-06T00:28:27Z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4747690EC52745C1B26B186D56B21DE2_13</vt:lpwstr>
  </property>
</Properties>
</file>