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华文中宋"/>
          <w:b/>
          <w:sz w:val="44"/>
          <w:szCs w:val="44"/>
        </w:rPr>
      </w:pPr>
      <w:bookmarkStart w:id="1" w:name="_GoBack"/>
      <w:bookmarkEnd w:id="1"/>
    </w:p>
    <w:p>
      <w:pPr>
        <w:jc w:val="center"/>
        <w:rPr>
          <w:rFonts w:eastAsia="方正小标宋_GBK"/>
          <w:sz w:val="44"/>
          <w:szCs w:val="44"/>
        </w:rPr>
      </w:pPr>
      <w:r>
        <w:rPr>
          <w:rFonts w:eastAsia="方正小标宋_GBK"/>
          <w:sz w:val="44"/>
          <w:szCs w:val="44"/>
        </w:rPr>
        <w:t>《运输类旋翼航空器适航规定》修订说明</w:t>
      </w:r>
    </w:p>
    <w:p>
      <w:pPr>
        <w:spacing w:line="360" w:lineRule="auto"/>
        <w:ind w:firstLine="640" w:firstLineChars="200"/>
        <w:rPr>
          <w:rFonts w:ascii="仿宋_GB2312" w:eastAsia="仿宋_GB2312"/>
          <w:sz w:val="32"/>
          <w:szCs w:val="32"/>
        </w:rPr>
      </w:pPr>
    </w:p>
    <w:p>
      <w:pPr>
        <w:spacing w:line="360" w:lineRule="auto"/>
        <w:ind w:firstLine="640" w:firstLineChars="200"/>
        <w:rPr>
          <w:rFonts w:eastAsia="仿宋_GB2312"/>
          <w:sz w:val="32"/>
          <w:szCs w:val="32"/>
        </w:rPr>
      </w:pPr>
      <w:r>
        <w:rPr>
          <w:rFonts w:hint="eastAsia" w:ascii="仿宋_GB2312" w:eastAsia="仿宋_GB2312"/>
          <w:sz w:val="32"/>
          <w:szCs w:val="32"/>
        </w:rPr>
        <w:t>为进一步完善和规范旋翼航空器适航审定工作，大力促进通用航空发展，保障航空安全，</w:t>
      </w:r>
      <w:r>
        <w:rPr>
          <w:rFonts w:eastAsia="仿宋_GB2312"/>
          <w:sz w:val="32"/>
          <w:szCs w:val="32"/>
        </w:rPr>
        <w:t>我司启动了《运输类旋翼航空器适航规定》（CCAR-29-R2）修订工作，在充分总结已有型号审定经验并参考国际相关适航标准最新发展的基础上，组织起草了《运输类旋翼航空器适航规定（修订草案）》。相关修订情况说明如下：</w:t>
      </w:r>
    </w:p>
    <w:p>
      <w:pPr>
        <w:spacing w:line="360" w:lineRule="auto"/>
        <w:ind w:firstLine="640" w:firstLineChars="200"/>
        <w:rPr>
          <w:rFonts w:eastAsia="黑体"/>
          <w:sz w:val="32"/>
          <w:szCs w:val="32"/>
        </w:rPr>
      </w:pPr>
      <w:r>
        <w:rPr>
          <w:rFonts w:eastAsia="黑体"/>
          <w:sz w:val="32"/>
          <w:szCs w:val="32"/>
        </w:rPr>
        <w:t>一、修订的必要性</w:t>
      </w:r>
    </w:p>
    <w:p>
      <w:pPr>
        <w:spacing w:line="360" w:lineRule="auto"/>
        <w:ind w:firstLine="640" w:firstLineChars="200"/>
        <w:rPr>
          <w:rFonts w:eastAsia="仿宋_GB2312"/>
          <w:sz w:val="32"/>
          <w:szCs w:val="32"/>
        </w:rPr>
      </w:pPr>
      <w:r>
        <w:rPr>
          <w:rFonts w:eastAsia="仿宋_GB2312"/>
          <w:sz w:val="32"/>
          <w:szCs w:val="32"/>
        </w:rPr>
        <w:t>现行《运输类旋翼航空器适航规定》（CCAR-29-R2）于2017年4月发布实施以来，已用于国产Z15、AC332、AC313A等运输类旋翼航空器的型号合格审定和多型进口运输类旋翼航空器的型号认可。该规章对保障我国运输类旋翼航空器的运行安全和促进民用航空事业的发展发挥了重要作用。</w:t>
      </w:r>
    </w:p>
    <w:p>
      <w:pPr>
        <w:ind w:firstLine="640" w:firstLineChars="200"/>
        <w:rPr>
          <w:rFonts w:eastAsia="仿宋_GB2312"/>
          <w:sz w:val="32"/>
          <w:szCs w:val="32"/>
        </w:rPr>
      </w:pPr>
      <w:r>
        <w:rPr>
          <w:rFonts w:eastAsia="仿宋_GB2312"/>
          <w:sz w:val="32"/>
          <w:szCs w:val="32"/>
        </w:rPr>
        <w:t>随着航空科学技术的发展，各种新技术不断应用，以及航空事故事件的调查分析，人们对安全标准的认识也在逐步提高和更新。针对增强飞行视景系统、能量存储系统、自动驾驶仪和飞行指引系统、仪表指示和标记等新技术在旋翼航空器设计中的不断应用，系统的复杂程度不断升高，使得现有的运输类旋翼航空器适航规定没有包含足够的安全要求，无法满足快速发展的航空技术的需要。</w:t>
      </w:r>
    </w:p>
    <w:p>
      <w:pPr>
        <w:numPr>
          <w:ilvl w:val="0"/>
          <w:numId w:val="1"/>
        </w:numPr>
        <w:ind w:firstLine="640" w:firstLineChars="200"/>
        <w:rPr>
          <w:rFonts w:eastAsia="黑体"/>
          <w:sz w:val="32"/>
          <w:szCs w:val="32"/>
        </w:rPr>
      </w:pPr>
      <w:r>
        <w:rPr>
          <w:rFonts w:eastAsia="黑体"/>
          <w:sz w:val="32"/>
          <w:szCs w:val="32"/>
        </w:rPr>
        <w:t>修订过程</w:t>
      </w:r>
    </w:p>
    <w:p>
      <w:pPr>
        <w:ind w:firstLine="640" w:firstLineChars="200"/>
        <w:rPr>
          <w:rFonts w:eastAsia="仿宋_GB2312"/>
          <w:sz w:val="32"/>
          <w:szCs w:val="32"/>
        </w:rPr>
      </w:pPr>
      <w:r>
        <w:rPr>
          <w:rFonts w:eastAsia="仿宋_GB2312"/>
          <w:sz w:val="32"/>
          <w:szCs w:val="32"/>
        </w:rPr>
        <w:t>《运输类旋翼航空器适航规定》（CCAR-29-R2）修订工作于2023年年初启动，通过行业调研、专家研讨、定向征求意见等方式，广泛吸收行业内各方意见后，经过汇总研究完善，多次修改后形成</w:t>
      </w:r>
      <w:bookmarkStart w:id="0" w:name="_Hlk44059006"/>
      <w:r>
        <w:rPr>
          <w:rFonts w:eastAsia="仿宋_GB2312"/>
          <w:sz w:val="32"/>
          <w:szCs w:val="32"/>
        </w:rPr>
        <w:t>征求意见</w:t>
      </w:r>
      <w:bookmarkEnd w:id="0"/>
      <w:r>
        <w:rPr>
          <w:rFonts w:eastAsia="仿宋_GB2312"/>
          <w:sz w:val="32"/>
          <w:szCs w:val="32"/>
        </w:rPr>
        <w:t>草案。</w:t>
      </w:r>
    </w:p>
    <w:p>
      <w:pPr>
        <w:numPr>
          <w:ilvl w:val="0"/>
          <w:numId w:val="1"/>
        </w:numPr>
        <w:ind w:firstLine="640" w:firstLineChars="200"/>
        <w:rPr>
          <w:rFonts w:eastAsia="黑体"/>
          <w:sz w:val="32"/>
          <w:szCs w:val="32"/>
        </w:rPr>
      </w:pPr>
      <w:r>
        <w:rPr>
          <w:rFonts w:eastAsia="黑体"/>
          <w:sz w:val="32"/>
          <w:szCs w:val="32"/>
        </w:rPr>
        <w:t>主要修订内容</w:t>
      </w:r>
    </w:p>
    <w:p>
      <w:pPr>
        <w:ind w:firstLine="640" w:firstLineChars="200"/>
        <w:rPr>
          <w:rFonts w:eastAsia="仿宋_GB2312"/>
          <w:sz w:val="32"/>
          <w:szCs w:val="32"/>
        </w:rPr>
      </w:pPr>
      <w:r>
        <w:rPr>
          <w:rFonts w:eastAsia="仿宋_GB2312"/>
          <w:sz w:val="32"/>
          <w:szCs w:val="32"/>
        </w:rPr>
        <w:t>本次修订以CCAR-29-R2为基础，结合国内外相关产品审定和认可经验及国际民用航空公约附件相关要求，并参考</w:t>
      </w:r>
      <w:r>
        <w:rPr>
          <w:rFonts w:hint="eastAsia" w:eastAsia="仿宋_GB2312"/>
          <w:sz w:val="32"/>
          <w:szCs w:val="32"/>
        </w:rPr>
        <w:t>美国运输类旋翼航空器适航标准最新修正案</w:t>
      </w:r>
      <w:r>
        <w:rPr>
          <w:rFonts w:eastAsia="仿宋_GB2312"/>
          <w:sz w:val="32"/>
          <w:szCs w:val="32"/>
        </w:rPr>
        <w:t>，主要修订内容如下：</w:t>
      </w:r>
    </w:p>
    <w:p>
      <w:pPr>
        <w:numPr>
          <w:ilvl w:val="0"/>
          <w:numId w:val="2"/>
        </w:numPr>
        <w:ind w:firstLine="640" w:firstLineChars="200"/>
        <w:rPr>
          <w:rFonts w:eastAsia="仿宋_GB2312"/>
          <w:sz w:val="32"/>
          <w:szCs w:val="32"/>
        </w:rPr>
      </w:pPr>
      <w:r>
        <w:rPr>
          <w:rFonts w:hint="eastAsia" w:eastAsia="仿宋_GB2312"/>
          <w:sz w:val="32"/>
          <w:szCs w:val="32"/>
        </w:rPr>
        <w:t>调整了</w:t>
      </w:r>
      <w:r>
        <w:rPr>
          <w:rFonts w:eastAsia="仿宋_GB2312"/>
          <w:sz w:val="32"/>
          <w:szCs w:val="32"/>
        </w:rPr>
        <w:t>第29.610条</w:t>
      </w:r>
      <w:r>
        <w:rPr>
          <w:rFonts w:hint="eastAsia" w:eastAsia="仿宋_GB2312"/>
          <w:sz w:val="32"/>
          <w:szCs w:val="32"/>
        </w:rPr>
        <w:t>闪电和静电防护条款，</w:t>
      </w:r>
      <w:r>
        <w:rPr>
          <w:rFonts w:eastAsia="仿宋_GB2312"/>
          <w:sz w:val="32"/>
          <w:szCs w:val="32"/>
        </w:rPr>
        <w:t>因为</w:t>
      </w:r>
      <w:r>
        <w:rPr>
          <w:rFonts w:hint="eastAsia" w:eastAsia="仿宋_GB2312"/>
          <w:sz w:val="32"/>
          <w:szCs w:val="32"/>
        </w:rPr>
        <w:t>第</w:t>
      </w:r>
      <w:r>
        <w:rPr>
          <w:rFonts w:eastAsia="仿宋_GB2312"/>
          <w:sz w:val="32"/>
          <w:szCs w:val="32"/>
        </w:rPr>
        <w:t>29.1316条已对电子电气系统闪电防护提出了明确的适航要求，删除了第29.610条(d)款(4)项</w:t>
      </w:r>
      <w:r>
        <w:rPr>
          <w:rFonts w:hint="eastAsia" w:eastAsia="仿宋_GB2312"/>
          <w:sz w:val="32"/>
          <w:szCs w:val="32"/>
        </w:rPr>
        <w:t>中</w:t>
      </w:r>
      <w:r>
        <w:rPr>
          <w:rFonts w:eastAsia="仿宋_GB2312"/>
          <w:sz w:val="32"/>
          <w:szCs w:val="32"/>
        </w:rPr>
        <w:t>关于闪电防护相关要求</w:t>
      </w:r>
      <w:r>
        <w:rPr>
          <w:rFonts w:hint="eastAsia" w:eastAsia="仿宋_GB2312"/>
          <w:sz w:val="32"/>
          <w:szCs w:val="32"/>
        </w:rPr>
        <w:t>，</w:t>
      </w:r>
      <w:r>
        <w:rPr>
          <w:rFonts w:eastAsia="仿宋_GB2312"/>
          <w:sz w:val="32"/>
          <w:szCs w:val="32"/>
        </w:rPr>
        <w:t>只保留</w:t>
      </w:r>
      <w:r>
        <w:rPr>
          <w:rFonts w:hint="eastAsia" w:eastAsia="仿宋_GB2312"/>
          <w:sz w:val="32"/>
          <w:szCs w:val="32"/>
        </w:rPr>
        <w:t>关于</w:t>
      </w:r>
      <w:r>
        <w:rPr>
          <w:rFonts w:eastAsia="仿宋_GB2312"/>
          <w:sz w:val="32"/>
          <w:szCs w:val="32"/>
        </w:rPr>
        <w:t>静电防护的要求。</w:t>
      </w:r>
    </w:p>
    <w:p>
      <w:pPr>
        <w:numPr>
          <w:ilvl w:val="0"/>
          <w:numId w:val="2"/>
        </w:numPr>
        <w:ind w:firstLine="640" w:firstLineChars="200"/>
        <w:rPr>
          <w:rFonts w:eastAsia="仿宋_GB2312"/>
          <w:sz w:val="32"/>
          <w:szCs w:val="32"/>
        </w:rPr>
      </w:pPr>
      <w:r>
        <w:rPr>
          <w:rFonts w:eastAsia="仿宋_GB2312"/>
          <w:sz w:val="32"/>
          <w:szCs w:val="32"/>
        </w:rPr>
        <w:t>调整了第</w:t>
      </w:r>
      <w:r>
        <w:rPr>
          <w:rFonts w:hint="eastAsia" w:eastAsia="仿宋_GB2312"/>
          <w:sz w:val="32"/>
          <w:szCs w:val="32"/>
        </w:rPr>
        <w:t>2</w:t>
      </w:r>
      <w:r>
        <w:rPr>
          <w:rFonts w:eastAsia="仿宋_GB2312"/>
          <w:sz w:val="32"/>
          <w:szCs w:val="32"/>
        </w:rPr>
        <w:t>9.773条驾驶舱视界条款，</w:t>
      </w:r>
      <w:r>
        <w:rPr>
          <w:rFonts w:hint="eastAsia" w:eastAsia="仿宋_GB2312"/>
          <w:sz w:val="32"/>
          <w:szCs w:val="32"/>
        </w:rPr>
        <w:t>对于申请夜航的合格审定，在夜间飞行试验之外，</w:t>
      </w:r>
      <w:r>
        <w:rPr>
          <w:rFonts w:eastAsia="仿宋_GB2312"/>
          <w:sz w:val="32"/>
          <w:szCs w:val="32"/>
        </w:rPr>
        <w:t>增加了地面试验作为一种新的符合性方法途径，并增加了关于增强飞行视景系统的要求。</w:t>
      </w:r>
    </w:p>
    <w:p>
      <w:pPr>
        <w:numPr>
          <w:ilvl w:val="0"/>
          <w:numId w:val="2"/>
        </w:numPr>
        <w:ind w:firstLine="640" w:firstLineChars="200"/>
        <w:rPr>
          <w:rFonts w:eastAsia="仿宋_GB2312"/>
          <w:sz w:val="32"/>
          <w:szCs w:val="32"/>
        </w:rPr>
      </w:pPr>
      <w:r>
        <w:rPr>
          <w:rFonts w:eastAsia="仿宋_GB2312"/>
          <w:sz w:val="32"/>
          <w:szCs w:val="32"/>
        </w:rPr>
        <w:t>将第29.1141条至第29.1165条单独作为一组，标题“动力装置的操纵机构和附件”。</w:t>
      </w:r>
    </w:p>
    <w:p>
      <w:pPr>
        <w:numPr>
          <w:ilvl w:val="0"/>
          <w:numId w:val="2"/>
        </w:numPr>
        <w:ind w:firstLine="640" w:firstLineChars="200"/>
        <w:rPr>
          <w:rFonts w:eastAsia="仿宋_GB2312"/>
          <w:sz w:val="32"/>
          <w:szCs w:val="32"/>
        </w:rPr>
      </w:pPr>
      <w:r>
        <w:rPr>
          <w:rFonts w:eastAsia="仿宋_GB2312"/>
          <w:sz w:val="32"/>
          <w:szCs w:val="32"/>
        </w:rPr>
        <w:t>调整</w:t>
      </w:r>
      <w:r>
        <w:rPr>
          <w:rFonts w:hint="eastAsia" w:eastAsia="仿宋_GB2312"/>
          <w:sz w:val="32"/>
          <w:szCs w:val="32"/>
        </w:rPr>
        <w:t>第</w:t>
      </w:r>
      <w:r>
        <w:rPr>
          <w:rFonts w:eastAsia="仿宋_GB2312"/>
          <w:sz w:val="32"/>
          <w:szCs w:val="32"/>
        </w:rPr>
        <w:t>2</w:t>
      </w:r>
      <w:r>
        <w:rPr>
          <w:rFonts w:hint="eastAsia" w:eastAsia="仿宋_GB2312"/>
          <w:sz w:val="32"/>
          <w:szCs w:val="32"/>
        </w:rPr>
        <w:t>9</w:t>
      </w:r>
      <w:r>
        <w:rPr>
          <w:rFonts w:eastAsia="仿宋_GB2312"/>
          <w:sz w:val="32"/>
          <w:szCs w:val="32"/>
        </w:rPr>
        <w:t>.1</w:t>
      </w:r>
      <w:r>
        <w:rPr>
          <w:rFonts w:hint="eastAsia" w:eastAsia="仿宋_GB2312"/>
          <w:sz w:val="32"/>
          <w:szCs w:val="32"/>
        </w:rPr>
        <w:t>305</w:t>
      </w:r>
      <w:r>
        <w:rPr>
          <w:rFonts w:eastAsia="仿宋_GB2312"/>
          <w:sz w:val="32"/>
          <w:szCs w:val="32"/>
        </w:rPr>
        <w:t>条</w:t>
      </w:r>
      <w:r>
        <w:rPr>
          <w:rFonts w:hint="eastAsia" w:eastAsia="仿宋_GB2312"/>
          <w:sz w:val="32"/>
          <w:szCs w:val="32"/>
        </w:rPr>
        <w:t>动力装置仪表</w:t>
      </w:r>
      <w:r>
        <w:rPr>
          <w:rFonts w:eastAsia="仿宋_GB2312"/>
          <w:sz w:val="32"/>
          <w:szCs w:val="32"/>
        </w:rPr>
        <w:t>条款</w:t>
      </w:r>
      <w:r>
        <w:rPr>
          <w:rFonts w:hint="eastAsia" w:eastAsia="仿宋_GB2312"/>
          <w:sz w:val="32"/>
          <w:szCs w:val="32"/>
        </w:rPr>
        <w:t>，进一步明确了发动机相关参数指示方法的要求，并且</w:t>
      </w:r>
      <w:r>
        <w:rPr>
          <w:rFonts w:eastAsia="仿宋_GB2312"/>
          <w:sz w:val="32"/>
          <w:szCs w:val="32"/>
        </w:rPr>
        <w:t>增加了A类旋翼航空器有关一台发动机不工作（OEI）训练模式的要求。</w:t>
      </w:r>
    </w:p>
    <w:p>
      <w:pPr>
        <w:numPr>
          <w:ilvl w:val="0"/>
          <w:numId w:val="2"/>
        </w:numPr>
        <w:ind w:firstLine="640" w:firstLineChars="200"/>
        <w:rPr>
          <w:rFonts w:eastAsia="仿宋_GB2312"/>
          <w:sz w:val="32"/>
          <w:szCs w:val="32"/>
        </w:rPr>
      </w:pPr>
      <w:r>
        <w:rPr>
          <w:rFonts w:hint="eastAsia" w:eastAsia="仿宋_GB2312"/>
          <w:sz w:val="32"/>
          <w:szCs w:val="32"/>
        </w:rPr>
        <w:t>调整</w:t>
      </w:r>
      <w:r>
        <w:rPr>
          <w:rFonts w:eastAsia="仿宋_GB2312"/>
          <w:sz w:val="32"/>
          <w:szCs w:val="32"/>
        </w:rPr>
        <w:t>了</w:t>
      </w:r>
      <w:r>
        <w:rPr>
          <w:rFonts w:hint="eastAsia" w:eastAsia="仿宋_GB2312"/>
          <w:sz w:val="32"/>
          <w:szCs w:val="32"/>
        </w:rPr>
        <w:t>第29.1309条</w:t>
      </w:r>
      <w:r>
        <w:rPr>
          <w:rFonts w:eastAsia="仿宋_GB2312"/>
          <w:sz w:val="32"/>
          <w:szCs w:val="32"/>
        </w:rPr>
        <w:t>系统、设备及安装条款，</w:t>
      </w:r>
      <w:r>
        <w:rPr>
          <w:rFonts w:hint="eastAsia" w:eastAsia="仿宋_GB2312"/>
          <w:sz w:val="32"/>
          <w:szCs w:val="32"/>
        </w:rPr>
        <w:t>进一步细化了不同类别的失效状态的概率要求。</w:t>
      </w:r>
    </w:p>
    <w:p>
      <w:pPr>
        <w:numPr>
          <w:ilvl w:val="0"/>
          <w:numId w:val="2"/>
        </w:numPr>
        <w:ind w:firstLine="640" w:firstLineChars="200"/>
        <w:rPr>
          <w:rFonts w:eastAsia="仿宋_GB2312"/>
          <w:sz w:val="32"/>
          <w:szCs w:val="32"/>
        </w:rPr>
      </w:pPr>
      <w:r>
        <w:rPr>
          <w:rFonts w:hint="eastAsia" w:eastAsia="仿宋_GB2312"/>
          <w:sz w:val="32"/>
          <w:szCs w:val="32"/>
        </w:rPr>
        <w:t>调整了自动驾驶仪系统和飞行指引系统条款，</w:t>
      </w:r>
      <w:r>
        <w:rPr>
          <w:rFonts w:eastAsia="仿宋_GB2312"/>
          <w:sz w:val="32"/>
          <w:szCs w:val="32"/>
        </w:rPr>
        <w:t>删除了第29.1335条</w:t>
      </w:r>
      <w:r>
        <w:rPr>
          <w:rFonts w:hint="eastAsia" w:eastAsia="仿宋_GB2312"/>
          <w:sz w:val="32"/>
          <w:szCs w:val="32"/>
        </w:rPr>
        <w:t>飞行指引系统条款</w:t>
      </w:r>
      <w:r>
        <w:rPr>
          <w:rFonts w:eastAsia="仿宋_GB2312"/>
          <w:sz w:val="32"/>
          <w:szCs w:val="32"/>
        </w:rPr>
        <w:t>，将第29.1335条</w:t>
      </w:r>
      <w:r>
        <w:rPr>
          <w:rFonts w:hint="eastAsia" w:eastAsia="仿宋_GB2312"/>
          <w:sz w:val="32"/>
          <w:szCs w:val="32"/>
        </w:rPr>
        <w:t>有关飞行指引系统的</w:t>
      </w:r>
      <w:r>
        <w:rPr>
          <w:rFonts w:eastAsia="仿宋_GB2312"/>
          <w:sz w:val="32"/>
          <w:szCs w:val="32"/>
        </w:rPr>
        <w:t>要求合并到第29.1329条</w:t>
      </w:r>
      <w:r>
        <w:rPr>
          <w:rFonts w:hint="eastAsia" w:eastAsia="仿宋_GB2312"/>
          <w:sz w:val="32"/>
          <w:szCs w:val="32"/>
        </w:rPr>
        <w:t>中</w:t>
      </w:r>
      <w:r>
        <w:rPr>
          <w:rFonts w:eastAsia="仿宋_GB2312"/>
          <w:sz w:val="32"/>
          <w:szCs w:val="32"/>
        </w:rPr>
        <w:t>，并</w:t>
      </w:r>
      <w:r>
        <w:rPr>
          <w:rFonts w:hint="eastAsia" w:eastAsia="仿宋_GB2312"/>
          <w:sz w:val="32"/>
          <w:szCs w:val="32"/>
        </w:rPr>
        <w:t>将</w:t>
      </w:r>
      <w:r>
        <w:rPr>
          <w:rFonts w:eastAsia="仿宋_GB2312"/>
          <w:sz w:val="32"/>
          <w:szCs w:val="32"/>
        </w:rPr>
        <w:t>第29.1329条条款名由“自动驾驶仪系统”修改为“自动驾驶仪和飞行指引系统”。</w:t>
      </w:r>
    </w:p>
    <w:p>
      <w:pPr>
        <w:numPr>
          <w:ilvl w:val="0"/>
          <w:numId w:val="2"/>
        </w:numPr>
        <w:ind w:firstLine="640" w:firstLineChars="200"/>
        <w:rPr>
          <w:rFonts w:eastAsia="仿宋_GB2312"/>
          <w:sz w:val="32"/>
          <w:szCs w:val="32"/>
        </w:rPr>
      </w:pPr>
      <w:r>
        <w:rPr>
          <w:rFonts w:eastAsia="仿宋_GB2312"/>
          <w:sz w:val="32"/>
          <w:szCs w:val="32"/>
        </w:rPr>
        <w:t>调整了第29.1351条电气系统和设备总则条款，将</w:t>
      </w:r>
      <w:r>
        <w:rPr>
          <w:rFonts w:hint="eastAsia" w:eastAsia="仿宋_GB2312"/>
          <w:sz w:val="32"/>
          <w:szCs w:val="32"/>
        </w:rPr>
        <w:t>原</w:t>
      </w:r>
      <w:r>
        <w:rPr>
          <w:rFonts w:eastAsia="仿宋_GB2312"/>
          <w:sz w:val="32"/>
          <w:szCs w:val="32"/>
        </w:rPr>
        <w:t>第29.1353条(a)款和(b)款</w:t>
      </w:r>
      <w:r>
        <w:rPr>
          <w:rFonts w:hint="eastAsia" w:eastAsia="仿宋_GB2312"/>
          <w:sz w:val="32"/>
          <w:szCs w:val="32"/>
        </w:rPr>
        <w:t>有关电气设备、控制装置、线路以及电缆的</w:t>
      </w:r>
      <w:r>
        <w:rPr>
          <w:rFonts w:eastAsia="仿宋_GB2312"/>
          <w:sz w:val="32"/>
          <w:szCs w:val="32"/>
        </w:rPr>
        <w:t>要求调整至第29.1351条，</w:t>
      </w:r>
      <w:r>
        <w:rPr>
          <w:rFonts w:hint="eastAsia" w:eastAsia="仿宋_GB2312"/>
          <w:sz w:val="32"/>
          <w:szCs w:val="32"/>
        </w:rPr>
        <w:t>作为</w:t>
      </w:r>
      <w:r>
        <w:rPr>
          <w:rFonts w:eastAsia="仿宋_GB2312"/>
          <w:sz w:val="32"/>
          <w:szCs w:val="32"/>
        </w:rPr>
        <w:t>第29.1351条</w:t>
      </w:r>
      <w:r>
        <w:rPr>
          <w:rFonts w:hint="eastAsia" w:eastAsia="仿宋_GB2312"/>
          <w:sz w:val="32"/>
          <w:szCs w:val="32"/>
        </w:rPr>
        <w:t>的</w:t>
      </w:r>
      <w:r>
        <w:rPr>
          <w:rFonts w:eastAsia="仿宋_GB2312"/>
          <w:sz w:val="32"/>
          <w:szCs w:val="32"/>
        </w:rPr>
        <w:t>(e)款和(f)款。</w:t>
      </w:r>
    </w:p>
    <w:p>
      <w:pPr>
        <w:numPr>
          <w:ilvl w:val="0"/>
          <w:numId w:val="2"/>
        </w:numPr>
        <w:ind w:firstLine="640" w:firstLineChars="200"/>
        <w:rPr>
          <w:rFonts w:eastAsia="仿宋_GB2312"/>
          <w:sz w:val="32"/>
          <w:szCs w:val="32"/>
        </w:rPr>
      </w:pPr>
      <w:r>
        <w:rPr>
          <w:rFonts w:eastAsia="仿宋_GB2312"/>
          <w:sz w:val="32"/>
          <w:szCs w:val="32"/>
        </w:rPr>
        <w:t>调整了第2</w:t>
      </w:r>
      <w:r>
        <w:rPr>
          <w:rFonts w:hint="eastAsia" w:eastAsia="仿宋_GB2312"/>
          <w:sz w:val="32"/>
          <w:szCs w:val="32"/>
        </w:rPr>
        <w:t>9</w:t>
      </w:r>
      <w:r>
        <w:rPr>
          <w:rFonts w:eastAsia="仿宋_GB2312"/>
          <w:sz w:val="32"/>
          <w:szCs w:val="32"/>
        </w:rPr>
        <w:t>.1353条电气设备及安装条款，将第2</w:t>
      </w:r>
      <w:r>
        <w:rPr>
          <w:rFonts w:hint="eastAsia" w:eastAsia="仿宋_GB2312"/>
          <w:sz w:val="32"/>
          <w:szCs w:val="32"/>
        </w:rPr>
        <w:t>9</w:t>
      </w:r>
      <w:r>
        <w:rPr>
          <w:rFonts w:eastAsia="仿宋_GB2312"/>
          <w:sz w:val="32"/>
          <w:szCs w:val="32"/>
        </w:rPr>
        <w:t>.1353条</w:t>
      </w:r>
      <w:r>
        <w:rPr>
          <w:rFonts w:hint="eastAsia" w:eastAsia="仿宋_GB2312"/>
          <w:sz w:val="32"/>
          <w:szCs w:val="32"/>
        </w:rPr>
        <w:t>条</w:t>
      </w:r>
      <w:r>
        <w:rPr>
          <w:rFonts w:eastAsia="仿宋_GB2312"/>
          <w:sz w:val="32"/>
          <w:szCs w:val="32"/>
        </w:rPr>
        <w:t>款名称由“电气设备及安装”改为“能量存储系统”，</w:t>
      </w:r>
      <w:r>
        <w:rPr>
          <w:rFonts w:hint="eastAsia" w:eastAsia="仿宋_GB2312"/>
          <w:sz w:val="32"/>
          <w:szCs w:val="32"/>
        </w:rPr>
        <w:t>使得条款适用范围覆盖包括锂电池在内</w:t>
      </w:r>
      <w:r>
        <w:rPr>
          <w:rFonts w:eastAsia="仿宋_GB2312"/>
          <w:sz w:val="32"/>
          <w:szCs w:val="32"/>
        </w:rPr>
        <w:t>任何能量存储系统</w:t>
      </w:r>
      <w:r>
        <w:rPr>
          <w:rFonts w:hint="eastAsia" w:eastAsia="仿宋_GB2312"/>
          <w:sz w:val="32"/>
          <w:szCs w:val="32"/>
        </w:rPr>
        <w:t>，进一步明确了</w:t>
      </w:r>
      <w:r>
        <w:rPr>
          <w:rFonts w:eastAsia="仿宋_GB2312"/>
          <w:sz w:val="32"/>
          <w:szCs w:val="32"/>
        </w:rPr>
        <w:t>能量存储系统</w:t>
      </w:r>
      <w:r>
        <w:rPr>
          <w:rFonts w:hint="eastAsia" w:eastAsia="仿宋_GB2312"/>
          <w:sz w:val="32"/>
          <w:szCs w:val="32"/>
        </w:rPr>
        <w:t>自动保护功能、监测功能以及关键系统参数状态指示等要求</w:t>
      </w:r>
      <w:r>
        <w:rPr>
          <w:rFonts w:eastAsia="仿宋_GB2312"/>
          <w:sz w:val="32"/>
          <w:szCs w:val="32"/>
        </w:rPr>
        <w:t>。</w:t>
      </w:r>
    </w:p>
    <w:p>
      <w:pPr>
        <w:numPr>
          <w:ilvl w:val="0"/>
          <w:numId w:val="2"/>
        </w:numPr>
        <w:ind w:firstLine="640" w:firstLineChars="200"/>
        <w:rPr>
          <w:rFonts w:eastAsia="仿宋_GB2312"/>
          <w:sz w:val="32"/>
          <w:szCs w:val="32"/>
        </w:rPr>
      </w:pPr>
      <w:r>
        <w:rPr>
          <w:rFonts w:eastAsia="仿宋_GB2312"/>
          <w:sz w:val="32"/>
          <w:szCs w:val="32"/>
        </w:rPr>
        <w:t>调整了</w:t>
      </w:r>
      <w:r>
        <w:rPr>
          <w:rFonts w:hint="eastAsia" w:eastAsia="仿宋_GB2312"/>
          <w:sz w:val="32"/>
          <w:szCs w:val="32"/>
        </w:rPr>
        <w:t>第</w:t>
      </w:r>
      <w:r>
        <w:rPr>
          <w:rFonts w:eastAsia="仿宋_GB2312"/>
          <w:sz w:val="32"/>
          <w:szCs w:val="32"/>
        </w:rPr>
        <w:t>2</w:t>
      </w:r>
      <w:r>
        <w:rPr>
          <w:rFonts w:hint="eastAsia" w:eastAsia="仿宋_GB2312"/>
          <w:sz w:val="32"/>
          <w:szCs w:val="32"/>
        </w:rPr>
        <w:t>9</w:t>
      </w:r>
      <w:r>
        <w:rPr>
          <w:rFonts w:eastAsia="仿宋_GB2312"/>
          <w:sz w:val="32"/>
          <w:szCs w:val="32"/>
        </w:rPr>
        <w:t>.1545条</w:t>
      </w:r>
      <w:r>
        <w:rPr>
          <w:rFonts w:hint="eastAsia" w:eastAsia="仿宋_GB2312"/>
          <w:sz w:val="32"/>
          <w:szCs w:val="32"/>
        </w:rPr>
        <w:t>空速表和第</w:t>
      </w:r>
      <w:r>
        <w:rPr>
          <w:rFonts w:eastAsia="仿宋_GB2312"/>
          <w:sz w:val="32"/>
          <w:szCs w:val="32"/>
        </w:rPr>
        <w:t>2</w:t>
      </w:r>
      <w:r>
        <w:rPr>
          <w:rFonts w:hint="eastAsia" w:eastAsia="仿宋_GB2312"/>
          <w:sz w:val="32"/>
          <w:szCs w:val="32"/>
        </w:rPr>
        <w:t>9</w:t>
      </w:r>
      <w:r>
        <w:rPr>
          <w:rFonts w:eastAsia="仿宋_GB2312"/>
          <w:sz w:val="32"/>
          <w:szCs w:val="32"/>
        </w:rPr>
        <w:t>.1549条</w:t>
      </w:r>
      <w:r>
        <w:rPr>
          <w:rFonts w:hint="eastAsia" w:eastAsia="仿宋_GB2312"/>
          <w:sz w:val="32"/>
          <w:szCs w:val="32"/>
        </w:rPr>
        <w:t>动力装置仪表</w:t>
      </w:r>
      <w:r>
        <w:rPr>
          <w:rFonts w:eastAsia="仿宋_GB2312"/>
          <w:sz w:val="32"/>
          <w:szCs w:val="32"/>
        </w:rPr>
        <w:t>条款，</w:t>
      </w:r>
      <w:r>
        <w:rPr>
          <w:rFonts w:hint="eastAsia" w:eastAsia="仿宋_GB2312"/>
          <w:sz w:val="32"/>
          <w:szCs w:val="32"/>
        </w:rPr>
        <w:t>进一步明确了</w:t>
      </w:r>
      <w:r>
        <w:rPr>
          <w:rFonts w:eastAsia="仿宋_GB2312"/>
          <w:sz w:val="32"/>
          <w:szCs w:val="32"/>
        </w:rPr>
        <w:t>仪表指示</w:t>
      </w:r>
      <w:r>
        <w:rPr>
          <w:rFonts w:hint="eastAsia" w:eastAsia="仿宋_GB2312"/>
          <w:sz w:val="32"/>
          <w:szCs w:val="32"/>
        </w:rPr>
        <w:t>的</w:t>
      </w:r>
      <w:r>
        <w:rPr>
          <w:rFonts w:eastAsia="仿宋_GB2312"/>
          <w:sz w:val="32"/>
          <w:szCs w:val="32"/>
        </w:rPr>
        <w:t>标记</w:t>
      </w:r>
      <w:r>
        <w:rPr>
          <w:rFonts w:hint="eastAsia" w:eastAsia="仿宋_GB2312"/>
          <w:sz w:val="32"/>
          <w:szCs w:val="32"/>
        </w:rPr>
        <w:t>要求</w:t>
      </w:r>
      <w:r>
        <w:rPr>
          <w:rFonts w:eastAsia="仿宋_GB2312"/>
          <w:sz w:val="32"/>
          <w:szCs w:val="32"/>
        </w:rPr>
        <w:t>。</w:t>
      </w:r>
    </w:p>
    <w:p>
      <w:pPr>
        <w:numPr>
          <w:ilvl w:val="0"/>
          <w:numId w:val="2"/>
        </w:numPr>
        <w:ind w:firstLine="640" w:firstLineChars="200"/>
        <w:rPr>
          <w:rFonts w:eastAsia="仿宋_GB2312"/>
          <w:sz w:val="32"/>
          <w:szCs w:val="32"/>
        </w:rPr>
      </w:pPr>
      <w:r>
        <w:rPr>
          <w:rFonts w:eastAsia="仿宋_GB2312"/>
          <w:sz w:val="32"/>
          <w:szCs w:val="32"/>
        </w:rPr>
        <w:t>调整了</w:t>
      </w:r>
      <w:r>
        <w:rPr>
          <w:rFonts w:hint="eastAsia" w:eastAsia="仿宋_GB2312"/>
          <w:sz w:val="32"/>
          <w:szCs w:val="32"/>
        </w:rPr>
        <w:t>第29.1555条</w:t>
      </w:r>
      <w:r>
        <w:rPr>
          <w:rFonts w:eastAsia="仿宋_GB2312"/>
          <w:sz w:val="32"/>
          <w:szCs w:val="32"/>
        </w:rPr>
        <w:t>操纵器件标记条款，允许采用不止一种方法告知飞行员燃油系统容量信息。</w:t>
      </w:r>
    </w:p>
    <w:p>
      <w:pPr>
        <w:numPr>
          <w:ilvl w:val="0"/>
          <w:numId w:val="2"/>
        </w:numPr>
        <w:ind w:firstLine="640" w:firstLineChars="200"/>
        <w:rPr>
          <w:rFonts w:eastAsia="仿宋_GB2312"/>
          <w:sz w:val="32"/>
          <w:szCs w:val="32"/>
        </w:rPr>
      </w:pPr>
      <w:r>
        <w:rPr>
          <w:rFonts w:eastAsia="仿宋_GB2312"/>
          <w:sz w:val="32"/>
          <w:szCs w:val="32"/>
        </w:rPr>
        <w:t>对原规定中的一些用词和表述进行了调整，使得更加准确清晰。</w:t>
      </w:r>
    </w:p>
    <w:p>
      <w:pPr>
        <w:rPr>
          <w:rFonts w:eastAsia="仿宋_GB2312"/>
          <w:sz w:val="32"/>
          <w:szCs w:val="32"/>
        </w:rPr>
      </w:pPr>
    </w:p>
    <w:p>
      <w:pPr>
        <w:spacing w:line="580" w:lineRule="exact"/>
        <w:ind w:firstLine="640" w:firstLineChars="200"/>
        <w:rPr>
          <w:rFonts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35418"/>
    <w:multiLevelType w:val="singleLevel"/>
    <w:tmpl w:val="86F35418"/>
    <w:lvl w:ilvl="0" w:tentative="0">
      <w:start w:val="1"/>
      <w:numFmt w:val="chineseCounting"/>
      <w:suff w:val="nothing"/>
      <w:lvlText w:val="（%1）"/>
      <w:lvlJc w:val="left"/>
      <w:rPr>
        <w:rFonts w:hint="eastAsia"/>
      </w:rPr>
    </w:lvl>
  </w:abstractNum>
  <w:abstractNum w:abstractNumId="1">
    <w:nsid w:val="E1741286"/>
    <w:multiLevelType w:val="singleLevel"/>
    <w:tmpl w:val="E1741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NzljZTAxMGEyNDJmZGFjN2RjZjFmNDQ4ZDM4NzYifQ=="/>
  </w:docVars>
  <w:rsids>
    <w:rsidRoot w:val="00E40811"/>
    <w:rsid w:val="00000D01"/>
    <w:rsid w:val="00002564"/>
    <w:rsid w:val="000454B6"/>
    <w:rsid w:val="00051F3D"/>
    <w:rsid w:val="00071FC1"/>
    <w:rsid w:val="00081BA0"/>
    <w:rsid w:val="0008314F"/>
    <w:rsid w:val="00085C79"/>
    <w:rsid w:val="00090CC3"/>
    <w:rsid w:val="000971E5"/>
    <w:rsid w:val="000B19C8"/>
    <w:rsid w:val="000C21D5"/>
    <w:rsid w:val="000F7668"/>
    <w:rsid w:val="00104FC7"/>
    <w:rsid w:val="00106548"/>
    <w:rsid w:val="00116C8D"/>
    <w:rsid w:val="001431EF"/>
    <w:rsid w:val="00184E9B"/>
    <w:rsid w:val="00185016"/>
    <w:rsid w:val="001949E0"/>
    <w:rsid w:val="001A712E"/>
    <w:rsid w:val="001B37B1"/>
    <w:rsid w:val="001E0F42"/>
    <w:rsid w:val="001E2073"/>
    <w:rsid w:val="00204C6D"/>
    <w:rsid w:val="00216544"/>
    <w:rsid w:val="002D3C58"/>
    <w:rsid w:val="00310325"/>
    <w:rsid w:val="003176A3"/>
    <w:rsid w:val="003246BB"/>
    <w:rsid w:val="003510B1"/>
    <w:rsid w:val="00366848"/>
    <w:rsid w:val="0038206C"/>
    <w:rsid w:val="003848E5"/>
    <w:rsid w:val="00387373"/>
    <w:rsid w:val="003C3B9E"/>
    <w:rsid w:val="003C78BF"/>
    <w:rsid w:val="003D3A8C"/>
    <w:rsid w:val="003F29FA"/>
    <w:rsid w:val="0041218B"/>
    <w:rsid w:val="0043515D"/>
    <w:rsid w:val="00437A62"/>
    <w:rsid w:val="004768A8"/>
    <w:rsid w:val="0048566E"/>
    <w:rsid w:val="00485A0E"/>
    <w:rsid w:val="0048669C"/>
    <w:rsid w:val="004B26C9"/>
    <w:rsid w:val="004C5FE0"/>
    <w:rsid w:val="00516CE6"/>
    <w:rsid w:val="00521252"/>
    <w:rsid w:val="0053599E"/>
    <w:rsid w:val="00550DE6"/>
    <w:rsid w:val="00566780"/>
    <w:rsid w:val="0056793A"/>
    <w:rsid w:val="00571C44"/>
    <w:rsid w:val="00573534"/>
    <w:rsid w:val="005801C9"/>
    <w:rsid w:val="00587956"/>
    <w:rsid w:val="005A466C"/>
    <w:rsid w:val="005B079A"/>
    <w:rsid w:val="005C4883"/>
    <w:rsid w:val="00602209"/>
    <w:rsid w:val="00622530"/>
    <w:rsid w:val="0062269C"/>
    <w:rsid w:val="00627528"/>
    <w:rsid w:val="0063114E"/>
    <w:rsid w:val="006346F8"/>
    <w:rsid w:val="00653CA4"/>
    <w:rsid w:val="006557A3"/>
    <w:rsid w:val="006A3B33"/>
    <w:rsid w:val="006A465E"/>
    <w:rsid w:val="006B65AB"/>
    <w:rsid w:val="006C641E"/>
    <w:rsid w:val="006D0523"/>
    <w:rsid w:val="006E0F6D"/>
    <w:rsid w:val="006E47AE"/>
    <w:rsid w:val="007329CF"/>
    <w:rsid w:val="00736BF7"/>
    <w:rsid w:val="007729AB"/>
    <w:rsid w:val="00785E07"/>
    <w:rsid w:val="007945FD"/>
    <w:rsid w:val="007A5B34"/>
    <w:rsid w:val="007C6ACF"/>
    <w:rsid w:val="007E2B3A"/>
    <w:rsid w:val="00824C46"/>
    <w:rsid w:val="0084187F"/>
    <w:rsid w:val="00843094"/>
    <w:rsid w:val="008534B0"/>
    <w:rsid w:val="0085704E"/>
    <w:rsid w:val="00887EFE"/>
    <w:rsid w:val="008E335D"/>
    <w:rsid w:val="0090508F"/>
    <w:rsid w:val="009101FE"/>
    <w:rsid w:val="00916536"/>
    <w:rsid w:val="0092526B"/>
    <w:rsid w:val="00932DF0"/>
    <w:rsid w:val="00942D0A"/>
    <w:rsid w:val="00982E1D"/>
    <w:rsid w:val="009A7124"/>
    <w:rsid w:val="009C0E0B"/>
    <w:rsid w:val="009C259C"/>
    <w:rsid w:val="009E0F6A"/>
    <w:rsid w:val="00A04227"/>
    <w:rsid w:val="00A10E69"/>
    <w:rsid w:val="00A13F0D"/>
    <w:rsid w:val="00A227A3"/>
    <w:rsid w:val="00A24F0E"/>
    <w:rsid w:val="00A2668E"/>
    <w:rsid w:val="00A35E15"/>
    <w:rsid w:val="00A45C2E"/>
    <w:rsid w:val="00AB5B29"/>
    <w:rsid w:val="00AD2446"/>
    <w:rsid w:val="00B016D5"/>
    <w:rsid w:val="00B05FFE"/>
    <w:rsid w:val="00B14B71"/>
    <w:rsid w:val="00B163BE"/>
    <w:rsid w:val="00B74537"/>
    <w:rsid w:val="00B804C0"/>
    <w:rsid w:val="00B92820"/>
    <w:rsid w:val="00BC1842"/>
    <w:rsid w:val="00BD5C6E"/>
    <w:rsid w:val="00BE0A4A"/>
    <w:rsid w:val="00BE4F55"/>
    <w:rsid w:val="00C02C87"/>
    <w:rsid w:val="00C122F9"/>
    <w:rsid w:val="00C34571"/>
    <w:rsid w:val="00C37938"/>
    <w:rsid w:val="00C402EB"/>
    <w:rsid w:val="00C53590"/>
    <w:rsid w:val="00CA40E8"/>
    <w:rsid w:val="00CA778B"/>
    <w:rsid w:val="00CB0F94"/>
    <w:rsid w:val="00CB1A05"/>
    <w:rsid w:val="00D00463"/>
    <w:rsid w:val="00D104CB"/>
    <w:rsid w:val="00D22CE2"/>
    <w:rsid w:val="00D31C20"/>
    <w:rsid w:val="00D76AF6"/>
    <w:rsid w:val="00D97179"/>
    <w:rsid w:val="00DF6395"/>
    <w:rsid w:val="00E1083E"/>
    <w:rsid w:val="00E40811"/>
    <w:rsid w:val="00E4410A"/>
    <w:rsid w:val="00E46813"/>
    <w:rsid w:val="00E512AB"/>
    <w:rsid w:val="00E512BE"/>
    <w:rsid w:val="00E64E5A"/>
    <w:rsid w:val="00E668D0"/>
    <w:rsid w:val="00E966F7"/>
    <w:rsid w:val="00EB2D34"/>
    <w:rsid w:val="00EE1229"/>
    <w:rsid w:val="00EE337F"/>
    <w:rsid w:val="00EE6C6A"/>
    <w:rsid w:val="00F0219A"/>
    <w:rsid w:val="00F22B85"/>
    <w:rsid w:val="00F43D88"/>
    <w:rsid w:val="00F50445"/>
    <w:rsid w:val="00F77541"/>
    <w:rsid w:val="00F867AB"/>
    <w:rsid w:val="00FB3D89"/>
    <w:rsid w:val="00FD2C8E"/>
    <w:rsid w:val="00FE04B6"/>
    <w:rsid w:val="02C848FD"/>
    <w:rsid w:val="0404752D"/>
    <w:rsid w:val="0544211F"/>
    <w:rsid w:val="07654708"/>
    <w:rsid w:val="0A56038B"/>
    <w:rsid w:val="0B367D47"/>
    <w:rsid w:val="0CEE6D0E"/>
    <w:rsid w:val="0D2A0A24"/>
    <w:rsid w:val="107C704A"/>
    <w:rsid w:val="12EF0C20"/>
    <w:rsid w:val="15451D9C"/>
    <w:rsid w:val="19D618A7"/>
    <w:rsid w:val="215D509E"/>
    <w:rsid w:val="22FD1657"/>
    <w:rsid w:val="24E343DF"/>
    <w:rsid w:val="24F309A8"/>
    <w:rsid w:val="27C2106B"/>
    <w:rsid w:val="284516D3"/>
    <w:rsid w:val="28BC3D0D"/>
    <w:rsid w:val="292F343F"/>
    <w:rsid w:val="2B827F0F"/>
    <w:rsid w:val="2C582377"/>
    <w:rsid w:val="2D8E462B"/>
    <w:rsid w:val="34847DD4"/>
    <w:rsid w:val="35347E57"/>
    <w:rsid w:val="373751A4"/>
    <w:rsid w:val="37B32F36"/>
    <w:rsid w:val="393329CC"/>
    <w:rsid w:val="39D05107"/>
    <w:rsid w:val="3AEBDB96"/>
    <w:rsid w:val="3B860CE3"/>
    <w:rsid w:val="3BBD13E9"/>
    <w:rsid w:val="3DA013D7"/>
    <w:rsid w:val="40185460"/>
    <w:rsid w:val="412201CB"/>
    <w:rsid w:val="444F55DD"/>
    <w:rsid w:val="458A15EC"/>
    <w:rsid w:val="48C837F2"/>
    <w:rsid w:val="48D30660"/>
    <w:rsid w:val="4970325B"/>
    <w:rsid w:val="4B2257F9"/>
    <w:rsid w:val="4B2E0642"/>
    <w:rsid w:val="4C5365B2"/>
    <w:rsid w:val="525A44C0"/>
    <w:rsid w:val="529D49C1"/>
    <w:rsid w:val="54251C6B"/>
    <w:rsid w:val="54F226E1"/>
    <w:rsid w:val="555C7B5A"/>
    <w:rsid w:val="55723F61"/>
    <w:rsid w:val="58DD1AA3"/>
    <w:rsid w:val="611D2DF6"/>
    <w:rsid w:val="62835A81"/>
    <w:rsid w:val="63087B3C"/>
    <w:rsid w:val="64A72E2B"/>
    <w:rsid w:val="660E24C1"/>
    <w:rsid w:val="68351DDD"/>
    <w:rsid w:val="69F745C9"/>
    <w:rsid w:val="6BAD2DC1"/>
    <w:rsid w:val="6BD12BF8"/>
    <w:rsid w:val="6C101972"/>
    <w:rsid w:val="6C384A25"/>
    <w:rsid w:val="6C4E4249"/>
    <w:rsid w:val="749E0438"/>
    <w:rsid w:val="75945FEE"/>
    <w:rsid w:val="76AB1F3D"/>
    <w:rsid w:val="788039DC"/>
    <w:rsid w:val="798D7543"/>
    <w:rsid w:val="799A3AD1"/>
    <w:rsid w:val="7A0A41C7"/>
    <w:rsid w:val="7AE35908"/>
    <w:rsid w:val="7B557D28"/>
    <w:rsid w:val="7DB319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link w:val="12"/>
    <w:unhideWhenUsed/>
    <w:uiPriority w:val="99"/>
    <w:pPr>
      <w:jc w:val="left"/>
    </w:pPr>
    <w:rPr>
      <w:rFonts w:ascii="Calibri" w:hAnsi="Calibri"/>
      <w:szCs w:val="22"/>
    </w:rPr>
  </w:style>
  <w:style w:type="paragraph" w:styleId="3">
    <w:name w:val="Balloon Text"/>
    <w:basedOn w:val="1"/>
    <w:semiHidden/>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59"/>
    <w:rPr>
      <w:rFonts w:ascii="Calibri" w:hAnsi="Calibri"/>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annotation reference"/>
    <w:unhideWhenUsed/>
    <w:uiPriority w:val="99"/>
    <w:rPr>
      <w:sz w:val="21"/>
      <w:szCs w:val="21"/>
    </w:rPr>
  </w:style>
  <w:style w:type="character" w:customStyle="1" w:styleId="12">
    <w:name w:val="批注文字 Char"/>
    <w:link w:val="2"/>
    <w:uiPriority w:val="99"/>
    <w:rPr>
      <w:rFonts w:ascii="Calibri" w:hAnsi="Calibri"/>
      <w:kern w:val="2"/>
      <w:sz w:val="21"/>
      <w:szCs w:val="22"/>
    </w:rPr>
  </w:style>
  <w:style w:type="character" w:customStyle="1" w:styleId="13">
    <w:name w:val="页脚 Char"/>
    <w:link w:val="4"/>
    <w:uiPriority w:val="0"/>
    <w:rPr>
      <w:kern w:val="2"/>
      <w:sz w:val="18"/>
      <w:szCs w:val="18"/>
    </w:rPr>
  </w:style>
  <w:style w:type="character" w:customStyle="1" w:styleId="14">
    <w:name w:val="页眉 Char"/>
    <w:link w:val="5"/>
    <w:uiPriority w:val="0"/>
    <w:rPr>
      <w:kern w:val="2"/>
      <w:sz w:val="18"/>
      <w:szCs w:val="18"/>
    </w:rPr>
  </w:style>
  <w:style w:type="paragraph" w:customStyle="1" w:styleId="15">
    <w:name w:val="公文"/>
    <w:basedOn w:val="1"/>
    <w:uiPriority w:val="0"/>
    <w:pPr>
      <w:spacing w:line="360" w:lineRule="auto"/>
      <w:ind w:firstLine="200" w:firstLineChars="200"/>
    </w:pPr>
    <w:rPr>
      <w:rFonts w:ascii="仿宋_GB2312" w:eastAsia="仿宋_GB2312"/>
      <w:sz w:val="32"/>
      <w:szCs w:val="32"/>
    </w:rPr>
  </w:style>
  <w:style w:type="paragraph" w:styleId="16">
    <w:name w:val="List Paragraph"/>
    <w:basedOn w:val="1"/>
    <w:qFormat/>
    <w:uiPriority w:val="34"/>
    <w:pPr>
      <w:spacing w:line="560" w:lineRule="exact"/>
      <w:ind w:firstLine="420" w:firstLineChars="200"/>
    </w:pPr>
    <w:rPr>
      <w:rFonts w:ascii="仿宋_GB2312" w:hAnsi="Calibri" w:eastAsia="仿宋_GB2312" w:cs="Times New Roman"/>
      <w:sz w:val="32"/>
      <w:szCs w:val="21"/>
    </w:rPr>
  </w:style>
  <w:style w:type="paragraph" w:customStyle="1" w:styleId="17">
    <w:name w:val="Default"/>
    <w:uiPriority w:val="0"/>
    <w:pPr>
      <w:widowControl w:val="0"/>
      <w:autoSpaceDE w:val="0"/>
      <w:autoSpaceDN w:val="0"/>
      <w:adjustRightInd w:val="0"/>
    </w:pPr>
    <w:rPr>
      <w:color w:val="000000"/>
      <w:sz w:val="24"/>
      <w:szCs w:val="24"/>
      <w:lang w:val="en-US" w:eastAsia="zh-CN" w:bidi="ar-SA"/>
    </w:rPr>
  </w:style>
  <w:style w:type="paragraph" w:customStyle="1" w:styleId="18">
    <w:name w:val="a层"/>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224</Words>
  <Characters>1280</Characters>
  <Lines>10</Lines>
  <Paragraphs>3</Paragraphs>
  <TotalTime>0</TotalTime>
  <ScaleCrop>false</ScaleCrop>
  <LinksUpToDate>false</LinksUpToDate>
  <CharactersWithSpaces>1501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2024-06-27T14:23:00Z</dcterms:created>
  <dc:creator>周颖慧</dc:creator>
  <cp:lastModifiedBy>朱雪峰</cp:lastModifiedBy>
  <dcterms:modified xsi:type="dcterms:W3CDTF">2024-07-03T15:31:30Z</dcterms:modified>
  <dc:title>《关于修改〈正常类旋翼航空器适航规定〉的决定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E415A22398D14AE99B3860992A366188_13</vt:lpwstr>
  </property>
</Properties>
</file>