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cs="仿宋_GB2312"/>
          <w:kern w:val="0"/>
          <w:sz w:val="28"/>
          <w:szCs w:val="28"/>
        </w:rPr>
      </w:pPr>
      <w:r>
        <w:rPr>
          <w:rFonts w:hint="eastAsia" w:ascii="仿宋_GB2312" w:eastAsia="仿宋_GB2312" w:cs="仿宋_GB2312"/>
          <w:kern w:val="0"/>
          <w:sz w:val="28"/>
          <w:szCs w:val="28"/>
        </w:rPr>
        <w:t>专用条件</w:t>
      </w:r>
      <w:r>
        <w:rPr>
          <w:rFonts w:hint="eastAsia" w:ascii="仿宋_GB2312" w:eastAsia="仿宋_GB2312" w:cs="仿宋_GB2312"/>
          <w:kern w:val="0"/>
          <w:sz w:val="28"/>
          <w:szCs w:val="28"/>
          <w:u w:val="single"/>
        </w:rPr>
        <w:t xml:space="preserve"> 投水舱门设计 </w:t>
      </w:r>
      <w:r>
        <w:rPr>
          <w:rFonts w:hint="eastAsia" w:ascii="仿宋_GB2312" w:eastAsia="仿宋_GB2312" w:cs="仿宋_GB2312"/>
          <w:kern w:val="0"/>
          <w:sz w:val="28"/>
          <w:szCs w:val="28"/>
        </w:rPr>
        <w:t>征求意见稿</w:t>
      </w:r>
    </w:p>
    <w:p>
      <w:pPr>
        <w:rPr>
          <w:rFonts w:ascii="仿宋_GB2312" w:eastAsia="仿宋_GB2312" w:cs="仿宋_GB2312"/>
          <w:kern w:val="0"/>
          <w:sz w:val="28"/>
          <w:szCs w:val="28"/>
        </w:rPr>
      </w:pPr>
      <w:r>
        <w:rPr>
          <w:rFonts w:hint="eastAsia" w:ascii="仿宋_GB2312" w:eastAsia="仿宋_GB2312" w:cs="仿宋_GB2312"/>
          <w:kern w:val="0"/>
          <w:sz w:val="28"/>
          <w:szCs w:val="28"/>
        </w:rPr>
        <w:t>编号：</w:t>
      </w:r>
    </w:p>
    <w:p>
      <w:pPr>
        <w:rPr>
          <w:rFonts w:ascii="仿宋_GB2312" w:eastAsia="仿宋_GB2312" w:cs="仿宋_GB2312"/>
          <w:kern w:val="0"/>
          <w:sz w:val="28"/>
          <w:szCs w:val="28"/>
        </w:rPr>
      </w:pPr>
      <w:r>
        <w:rPr>
          <w:rFonts w:hint="eastAsia" w:ascii="仿宋_GB2312" w:eastAsia="仿宋_GB2312" w:cs="仿宋_GB2312"/>
          <w:kern w:val="0"/>
          <w:sz w:val="28"/>
          <w:szCs w:val="28"/>
        </w:rPr>
        <w:t>反馈意见截止期：自通知颁发的1</w:t>
      </w:r>
      <w:r>
        <w:rPr>
          <w:rFonts w:hint="eastAsia" w:ascii="仿宋_GB2312" w:eastAsia="仿宋_GB2312" w:cs="仿宋_GB2312"/>
          <w:kern w:val="0"/>
          <w:sz w:val="28"/>
          <w:szCs w:val="28"/>
          <w:lang w:val="en-US" w:eastAsia="zh-CN"/>
        </w:rPr>
        <w:t>0</w:t>
      </w:r>
      <w:r>
        <w:rPr>
          <w:rFonts w:hint="eastAsia" w:ascii="仿宋_GB2312" w:eastAsia="仿宋_GB2312" w:cs="仿宋_GB2312"/>
          <w:kern w:val="0"/>
          <w:sz w:val="28"/>
          <w:szCs w:val="28"/>
        </w:rPr>
        <w:t>个工作日</w:t>
      </w:r>
    </w:p>
    <w:p>
      <w:pPr>
        <w:pStyle w:val="11"/>
        <w:numPr>
          <w:ilvl w:val="0"/>
          <w:numId w:val="1"/>
        </w:numPr>
        <w:ind w:firstLineChars="0"/>
        <w:rPr>
          <w:rFonts w:ascii="仿宋_GB2312" w:eastAsia="仿宋_GB2312" w:cs="仿宋_GB2312"/>
          <w:kern w:val="0"/>
          <w:sz w:val="28"/>
          <w:szCs w:val="28"/>
        </w:rPr>
      </w:pPr>
      <w:r>
        <w:rPr>
          <w:rFonts w:hint="eastAsia" w:ascii="仿宋_GB2312" w:eastAsia="仿宋_GB2312" w:cs="仿宋_GB2312"/>
          <w:kern w:val="0"/>
          <w:sz w:val="28"/>
          <w:szCs w:val="28"/>
        </w:rPr>
        <w:t>概述</w:t>
      </w:r>
    </w:p>
    <w:p>
      <w:pPr>
        <w:snapToGrid w:val="0"/>
        <w:spacing w:line="560" w:lineRule="exact"/>
        <w:ind w:left="0" w:firstLine="560" w:firstLineChars="200"/>
        <w:jc w:val="both"/>
        <w:rPr>
          <w:rFonts w:ascii="仿宋_GB2312" w:eastAsia="仿宋_GB2312" w:cs="仿宋_GB2312"/>
          <w:kern w:val="0"/>
          <w:sz w:val="28"/>
          <w:szCs w:val="28"/>
        </w:rPr>
      </w:pPr>
      <w:r>
        <w:rPr>
          <w:rFonts w:hint="eastAsia" w:ascii="仿宋_GB2312" w:eastAsia="仿宋_GB2312" w:cs="仿宋_GB2312"/>
          <w:kern w:val="0"/>
          <w:sz w:val="28"/>
          <w:szCs w:val="28"/>
        </w:rPr>
        <w:t>MA60型飞机灭火介质投放平台基本型（以下简称“MA60型飞机灭火介质投放平台”）在机身腹部布置4个投水舱门，用于存储和投放飞机执行任务时所需的灭火介质。投水舱门的开启功能、关闭功能、门闩功能、结构承载、位置布置及几何尺寸均可能对飞行安全造成影响。</w:t>
      </w:r>
    </w:p>
    <w:p>
      <w:pPr>
        <w:pStyle w:val="11"/>
        <w:numPr>
          <w:ilvl w:val="0"/>
          <w:numId w:val="1"/>
        </w:numPr>
        <w:ind w:firstLineChars="0"/>
        <w:rPr>
          <w:rFonts w:ascii="仿宋_GB2312" w:eastAsia="仿宋_GB2312" w:cs="仿宋_GB2312"/>
          <w:kern w:val="0"/>
          <w:sz w:val="28"/>
          <w:szCs w:val="28"/>
        </w:rPr>
      </w:pPr>
      <w:r>
        <w:rPr>
          <w:rFonts w:hint="eastAsia" w:ascii="仿宋_GB2312" w:eastAsia="仿宋_GB2312" w:cs="仿宋_GB2312"/>
          <w:kern w:val="0"/>
          <w:sz w:val="28"/>
          <w:szCs w:val="28"/>
        </w:rPr>
        <w:t>背景</w:t>
      </w:r>
    </w:p>
    <w:p>
      <w:pPr>
        <w:snapToGrid w:val="0"/>
        <w:spacing w:line="560" w:lineRule="exact"/>
        <w:ind w:left="0" w:firstLine="560" w:firstLineChars="200"/>
        <w:jc w:val="both"/>
        <w:rPr>
          <w:rFonts w:ascii="仿宋_GB2312" w:eastAsia="仿宋_GB2312" w:cs="仿宋_GB2312"/>
          <w:kern w:val="0"/>
          <w:sz w:val="28"/>
          <w:szCs w:val="28"/>
        </w:rPr>
      </w:pPr>
      <w:r>
        <w:rPr>
          <w:rFonts w:hint="eastAsia" w:ascii="仿宋_GB2312" w:eastAsia="仿宋_GB2312" w:cs="仿宋_GB2312"/>
          <w:kern w:val="0"/>
          <w:sz w:val="28"/>
          <w:szCs w:val="28"/>
        </w:rPr>
        <w:t>MA60型飞机灭火介质投放平台在机身舱内17框-23框之间布置4个投水舱门，每个投水舱门均是飞机的水密线，投水舱门工作方式是驾驶舱机组或工作舱任务操作员按压投水按钮，投水舱门沿机身对称平面对向向下向外开启，灭火介质投放完毕后计算机控制液压装置带动投水舱门关闭和锁定，可能因投水舱门结构破坏、非指令性开启、无法按照预期顺利开启或关闭、起降阶段擦地等造成安全隐患。</w:t>
      </w:r>
    </w:p>
    <w:p>
      <w:pPr>
        <w:snapToGrid w:val="0"/>
        <w:spacing w:line="560" w:lineRule="exact"/>
        <w:ind w:left="0" w:firstLine="560" w:firstLineChars="200"/>
        <w:jc w:val="both"/>
        <w:rPr>
          <w:rFonts w:hint="eastAsia" w:ascii="仿宋_GB2312" w:eastAsia="仿宋_GB2312" w:cs="仿宋_GB2312"/>
          <w:kern w:val="0"/>
          <w:sz w:val="28"/>
          <w:szCs w:val="28"/>
        </w:rPr>
      </w:pPr>
      <w:r>
        <w:rPr>
          <w:rFonts w:hint="eastAsia" w:ascii="仿宋_GB2312" w:eastAsia="仿宋_GB2312" w:cs="仿宋_GB2312"/>
          <w:kern w:val="0"/>
          <w:sz w:val="28"/>
          <w:szCs w:val="28"/>
        </w:rPr>
        <w:t>由于MA60型飞机灭火介质投放平台投水舱门具有新颖、独特的设计特</w:t>
      </w:r>
      <w:r>
        <w:rPr>
          <w:rFonts w:hint="eastAsia" w:ascii="仿宋_GB2312" w:eastAsia="仿宋_GB2312" w:cs="仿宋_GB2312"/>
          <w:kern w:val="0"/>
          <w:sz w:val="28"/>
          <w:szCs w:val="28"/>
          <w:lang w:val="en-US" w:eastAsia="zh-CN"/>
        </w:rPr>
        <w:t>点</w:t>
      </w:r>
      <w:r>
        <w:rPr>
          <w:rFonts w:hint="eastAsia" w:ascii="仿宋_GB2312" w:eastAsia="仿宋_GB2312" w:cs="仿宋_GB2312"/>
          <w:kern w:val="0"/>
          <w:sz w:val="28"/>
          <w:szCs w:val="28"/>
        </w:rPr>
        <w:t>，</w:t>
      </w:r>
      <w:r>
        <w:rPr>
          <w:rFonts w:hint="eastAsia" w:ascii="仿宋_GB2312" w:eastAsia="仿宋_GB2312" w:cs="仿宋_GB2312"/>
          <w:kern w:val="0"/>
          <w:sz w:val="28"/>
          <w:szCs w:val="28"/>
          <w:lang w:val="en-US" w:eastAsia="zh-CN"/>
        </w:rPr>
        <w:t>现有适航规章未包含适当的或者足够的安全要求</w:t>
      </w:r>
      <w:r>
        <w:rPr>
          <w:rFonts w:hint="eastAsia" w:ascii="仿宋_GB2312" w:eastAsia="仿宋_GB2312" w:cs="仿宋_GB2312"/>
          <w:kern w:val="0"/>
          <w:sz w:val="28"/>
          <w:szCs w:val="28"/>
        </w:rPr>
        <w:t>，根据《民用航空产品和零部件合格审定规定》</w:t>
      </w:r>
      <w:r>
        <w:rPr>
          <w:rFonts w:hint="eastAsia" w:ascii="仿宋_GB2312" w:eastAsia="仿宋_GB2312" w:cs="仿宋_GB2312"/>
          <w:kern w:val="0"/>
          <w:sz w:val="28"/>
          <w:szCs w:val="28"/>
          <w:lang w:val="en-US" w:eastAsia="zh-CN"/>
        </w:rPr>
        <w:t>（</w:t>
      </w:r>
      <w:r>
        <w:rPr>
          <w:rFonts w:hint="eastAsia" w:ascii="仿宋_GB2312" w:eastAsia="仿宋_GB2312" w:cs="仿宋_GB2312"/>
          <w:kern w:val="0"/>
          <w:sz w:val="28"/>
          <w:szCs w:val="28"/>
        </w:rPr>
        <w:t>CCAR</w:t>
      </w:r>
      <w:r>
        <w:rPr>
          <w:rFonts w:hint="eastAsia" w:ascii="仿宋_GB2312" w:eastAsia="仿宋_GB2312" w:cs="仿宋_GB2312"/>
          <w:kern w:val="0"/>
          <w:sz w:val="28"/>
          <w:szCs w:val="28"/>
          <w:lang w:val="en-US" w:eastAsia="zh-CN"/>
        </w:rPr>
        <w:t>-</w:t>
      </w:r>
      <w:r>
        <w:rPr>
          <w:rFonts w:hint="eastAsia" w:ascii="仿宋_GB2312" w:eastAsia="仿宋_GB2312" w:cs="仿宋_GB2312"/>
          <w:kern w:val="0"/>
          <w:sz w:val="28"/>
          <w:szCs w:val="28"/>
        </w:rPr>
        <w:t>2</w:t>
      </w:r>
      <w:r>
        <w:rPr>
          <w:rFonts w:hint="eastAsia" w:ascii="仿宋_GB2312" w:eastAsia="仿宋_GB2312" w:cs="仿宋_GB2312"/>
          <w:kern w:val="0"/>
          <w:sz w:val="28"/>
          <w:szCs w:val="28"/>
          <w:lang w:val="en-US" w:eastAsia="zh-CN"/>
        </w:rPr>
        <w:t>1-R5）</w:t>
      </w:r>
      <w:r>
        <w:rPr>
          <w:rFonts w:hint="eastAsia" w:ascii="仿宋_GB2312" w:eastAsia="仿宋_GB2312" w:cs="仿宋_GB2312"/>
          <w:kern w:val="0"/>
          <w:sz w:val="28"/>
          <w:szCs w:val="28"/>
        </w:rPr>
        <w:t>第21.16条规定，为确保MA60型飞机灭火介质投放平台的飞行安全，特制定</w:t>
      </w:r>
      <w:bookmarkStart w:id="0" w:name="_GoBack"/>
      <w:bookmarkEnd w:id="0"/>
      <w:r>
        <w:rPr>
          <w:rFonts w:hint="eastAsia" w:ascii="仿宋_GB2312" w:eastAsia="仿宋_GB2312" w:cs="仿宋_GB2312"/>
          <w:kern w:val="0"/>
          <w:sz w:val="28"/>
          <w:szCs w:val="28"/>
        </w:rPr>
        <w:t>专用条件。</w:t>
      </w:r>
    </w:p>
    <w:p>
      <w:pPr>
        <w:pStyle w:val="11"/>
        <w:numPr>
          <w:ilvl w:val="0"/>
          <w:numId w:val="1"/>
        </w:numPr>
        <w:ind w:firstLineChars="0"/>
        <w:rPr>
          <w:rFonts w:ascii="仿宋_GB2312" w:eastAsia="仿宋_GB2312" w:cs="仿宋_GB2312"/>
          <w:kern w:val="0"/>
          <w:sz w:val="28"/>
          <w:szCs w:val="28"/>
        </w:rPr>
      </w:pPr>
      <w:r>
        <w:rPr>
          <w:rFonts w:hint="eastAsia" w:ascii="仿宋_GB2312" w:eastAsia="仿宋_GB2312" w:cs="仿宋_GB2312"/>
          <w:kern w:val="0"/>
          <w:sz w:val="28"/>
          <w:szCs w:val="28"/>
        </w:rPr>
        <w:t>适用范围</w:t>
      </w:r>
    </w:p>
    <w:p>
      <w:pPr>
        <w:snapToGrid w:val="0"/>
        <w:spacing w:line="560" w:lineRule="exact"/>
        <w:ind w:left="0" w:firstLine="560" w:firstLineChars="200"/>
        <w:jc w:val="left"/>
        <w:rPr>
          <w:rFonts w:ascii="仿宋_GB2312" w:eastAsia="仿宋_GB2312" w:cs="仿宋_GB2312"/>
          <w:kern w:val="0"/>
          <w:sz w:val="28"/>
          <w:szCs w:val="28"/>
        </w:rPr>
      </w:pPr>
      <w:r>
        <w:rPr>
          <w:rFonts w:hint="eastAsia" w:ascii="仿宋_GB2312" w:eastAsia="仿宋_GB2312" w:cs="仿宋_GB2312"/>
          <w:kern w:val="0"/>
          <w:sz w:val="28"/>
          <w:szCs w:val="28"/>
        </w:rPr>
        <w:t>本专用条件适用于MA60型飞机灭火介质投放平台基本型。</w:t>
      </w:r>
    </w:p>
    <w:p>
      <w:pPr>
        <w:pStyle w:val="11"/>
        <w:numPr>
          <w:ilvl w:val="0"/>
          <w:numId w:val="1"/>
        </w:numPr>
        <w:ind w:firstLineChars="0"/>
        <w:rPr>
          <w:rFonts w:ascii="仿宋_GB2312" w:eastAsia="仿宋_GB2312" w:cs="仿宋_GB2312"/>
          <w:kern w:val="0"/>
          <w:sz w:val="28"/>
          <w:szCs w:val="28"/>
        </w:rPr>
      </w:pPr>
      <w:r>
        <w:rPr>
          <w:rFonts w:hint="eastAsia" w:ascii="仿宋_GB2312" w:eastAsia="仿宋_GB2312" w:cs="仿宋_GB2312"/>
          <w:kern w:val="0"/>
          <w:sz w:val="28"/>
          <w:szCs w:val="28"/>
        </w:rPr>
        <w:t>专用条件草案</w:t>
      </w:r>
    </w:p>
    <w:p>
      <w:pPr>
        <w:snapToGrid w:val="0"/>
        <w:spacing w:line="560" w:lineRule="exact"/>
        <w:ind w:left="0" w:firstLine="560" w:firstLineChars="200"/>
        <w:jc w:val="left"/>
        <w:rPr>
          <w:rFonts w:ascii="仿宋_GB2312" w:eastAsia="仿宋_GB2312" w:cs="仿宋_GB2312"/>
          <w:kern w:val="0"/>
          <w:sz w:val="28"/>
          <w:szCs w:val="28"/>
        </w:rPr>
      </w:pPr>
      <w:r>
        <w:rPr>
          <w:rFonts w:hint="eastAsia" w:ascii="仿宋_GB2312" w:eastAsia="仿宋_GB2312" w:cs="仿宋_GB2312"/>
          <w:kern w:val="0"/>
          <w:sz w:val="28"/>
          <w:szCs w:val="28"/>
        </w:rPr>
        <w:t>每一个投水舱门均应按以下要求进行设计：</w:t>
      </w:r>
    </w:p>
    <w:p>
      <w:pPr>
        <w:adjustRightInd w:val="0"/>
        <w:spacing w:line="560" w:lineRule="exact"/>
        <w:ind w:firstLine="1"/>
        <w:rPr>
          <w:rFonts w:ascii="仿宋_GB2312" w:hAnsi="宋体" w:eastAsia="仿宋_GB2312"/>
          <w:sz w:val="28"/>
          <w:szCs w:val="28"/>
        </w:rPr>
      </w:pPr>
      <w:r>
        <w:rPr>
          <w:rFonts w:hint="eastAsia" w:ascii="仿宋_GB2312" w:hAnsi="宋体" w:eastAsia="仿宋_GB2312"/>
          <w:sz w:val="28"/>
          <w:szCs w:val="28"/>
        </w:rPr>
        <w:t>（a）</w:t>
      </w:r>
      <w:r>
        <w:rPr>
          <w:rFonts w:hint="eastAsia" w:ascii="仿宋_GB2312" w:hAnsi="宋体" w:eastAsia="仿宋_GB2312"/>
          <w:sz w:val="28"/>
          <w:szCs w:val="28"/>
          <w:lang w:val="en-US" w:eastAsia="zh-CN"/>
        </w:rPr>
        <w:t>投水舱门收放机构、门体结构和支撑结构必须</w:t>
      </w:r>
      <w:r>
        <w:rPr>
          <w:rFonts w:hint="eastAsia" w:ascii="仿宋_GB2312" w:hAnsi="宋体" w:eastAsia="仿宋_GB2312"/>
          <w:sz w:val="28"/>
          <w:szCs w:val="28"/>
        </w:rPr>
        <w:t xml:space="preserve">能承受飞机运行过程中的各种载荷而不破坏，包括气动载荷、惯性载荷、投水过程中的冲击载荷等。 </w:t>
      </w:r>
    </w:p>
    <w:p>
      <w:pPr>
        <w:adjustRightInd w:val="0"/>
        <w:spacing w:line="560" w:lineRule="exact"/>
        <w:ind w:firstLine="1"/>
        <w:rPr>
          <w:rFonts w:ascii="仿宋_GB2312" w:hAnsi="宋体" w:eastAsia="仿宋_GB2312"/>
          <w:sz w:val="28"/>
          <w:szCs w:val="28"/>
        </w:rPr>
      </w:pPr>
      <w:r>
        <w:rPr>
          <w:rFonts w:hint="eastAsia" w:ascii="仿宋_GB2312" w:hAnsi="宋体" w:eastAsia="仿宋_GB2312"/>
          <w:sz w:val="28"/>
          <w:szCs w:val="28"/>
        </w:rPr>
        <w:t>（b）具有措施关闭并上闩每一个投水舱门，防止意外打开。</w:t>
      </w:r>
    </w:p>
    <w:p>
      <w:pPr>
        <w:adjustRightInd w:val="0"/>
        <w:spacing w:line="560" w:lineRule="exact"/>
        <w:ind w:firstLine="1"/>
        <w:rPr>
          <w:rFonts w:ascii="仿宋_GB2312" w:hAnsi="宋体" w:eastAsia="仿宋_GB2312"/>
          <w:sz w:val="28"/>
          <w:szCs w:val="28"/>
        </w:rPr>
      </w:pPr>
      <w:r>
        <w:rPr>
          <w:rFonts w:hint="eastAsia" w:ascii="仿宋_GB2312" w:hAnsi="宋体" w:eastAsia="仿宋_GB2312"/>
          <w:sz w:val="28"/>
          <w:szCs w:val="28"/>
        </w:rPr>
        <w:t>（c）必须有措施防止由于机械失效或者任何单个结构元件失效导致的飞行中意外打开。</w:t>
      </w:r>
    </w:p>
    <w:p>
      <w:pPr>
        <w:adjustRightInd w:val="0"/>
        <w:spacing w:line="560" w:lineRule="exact"/>
        <w:ind w:firstLine="1"/>
        <w:rPr>
          <w:rFonts w:ascii="仿宋_GB2312" w:hAnsi="宋体" w:eastAsia="仿宋_GB2312"/>
          <w:sz w:val="28"/>
          <w:szCs w:val="28"/>
        </w:rPr>
      </w:pPr>
      <w:r>
        <w:rPr>
          <w:rFonts w:hint="eastAsia" w:ascii="仿宋_GB2312" w:hAnsi="宋体" w:eastAsia="仿宋_GB2312"/>
          <w:sz w:val="28"/>
          <w:szCs w:val="28"/>
        </w:rPr>
        <w:t>（d）必须有备份措施在投水舱门开启系统中任何合理可能的失效，或任何单个液压源、电源或其他能源失效的情况下打开至少一个投水舱门,保证灭火介质排出。</w:t>
      </w:r>
    </w:p>
    <w:p>
      <w:pPr>
        <w:adjustRightInd w:val="0"/>
        <w:spacing w:line="560" w:lineRule="exact"/>
        <w:ind w:firstLine="1"/>
        <w:rPr>
          <w:rFonts w:ascii="仿宋_GB2312" w:hAnsi="宋体" w:eastAsia="仿宋_GB2312"/>
          <w:sz w:val="28"/>
          <w:szCs w:val="28"/>
        </w:rPr>
      </w:pPr>
      <w:r>
        <w:rPr>
          <w:rFonts w:hint="eastAsia" w:ascii="仿宋_GB2312" w:hAnsi="宋体" w:eastAsia="仿宋_GB2312"/>
          <w:sz w:val="28"/>
          <w:szCs w:val="28"/>
        </w:rPr>
        <w:t>（e）必须向飞行机组提供投水舱门位置状态指示。</w:t>
      </w:r>
    </w:p>
    <w:p>
      <w:pPr>
        <w:adjustRightInd w:val="0"/>
        <w:spacing w:line="560" w:lineRule="exact"/>
        <w:ind w:firstLine="1"/>
        <w:rPr>
          <w:rFonts w:hint="default" w:ascii="仿宋_GB2312" w:hAnsi="宋体" w:eastAsia="仿宋_GB2312"/>
          <w:sz w:val="28"/>
          <w:szCs w:val="28"/>
          <w:lang w:val="en-US" w:eastAsia="zh-CN"/>
        </w:rPr>
      </w:pPr>
      <w:r>
        <w:rPr>
          <w:rFonts w:hint="eastAsia" w:ascii="仿宋_GB2312" w:hAnsi="宋体" w:eastAsia="仿宋_GB2312"/>
          <w:sz w:val="28"/>
          <w:szCs w:val="28"/>
        </w:rPr>
        <w:t>（f）必须表明投水舱门</w:t>
      </w:r>
      <w:r>
        <w:rPr>
          <w:rFonts w:hint="eastAsia" w:ascii="仿宋_GB2312" w:hAnsi="宋体" w:eastAsia="仿宋_GB2312"/>
          <w:sz w:val="28"/>
          <w:szCs w:val="28"/>
          <w:lang w:val="en-US" w:eastAsia="zh-CN"/>
        </w:rPr>
        <w:t>在未上闩状态</w:t>
      </w:r>
      <w:r>
        <w:rPr>
          <w:rFonts w:hint="eastAsia" w:ascii="仿宋_GB2312" w:hAnsi="宋体" w:eastAsia="仿宋_GB2312"/>
          <w:sz w:val="28"/>
          <w:szCs w:val="28"/>
        </w:rPr>
        <w:t>不影响飞机继续安全飞行与着陆。</w:t>
      </w:r>
      <w:r>
        <w:rPr>
          <w:rFonts w:hint="eastAsia" w:ascii="仿宋_GB2312" w:hAnsi="宋体" w:eastAsia="仿宋_GB2312"/>
          <w:sz w:val="28"/>
          <w:szCs w:val="28"/>
          <w:lang w:val="en-US" w:eastAsia="zh-CN"/>
        </w:rPr>
        <w:t>这必须由安全性分析或飞行试验来表明。</w:t>
      </w:r>
    </w:p>
    <w:p>
      <w:pPr>
        <w:pStyle w:val="11"/>
        <w:numPr>
          <w:ilvl w:val="0"/>
          <w:numId w:val="1"/>
        </w:numPr>
        <w:ind w:firstLineChars="0"/>
        <w:rPr>
          <w:rFonts w:ascii="仿宋_GB2312" w:eastAsia="仿宋_GB2312" w:cs="仿宋_GB2312"/>
          <w:kern w:val="0"/>
          <w:sz w:val="28"/>
          <w:szCs w:val="28"/>
        </w:rPr>
      </w:pPr>
      <w:r>
        <w:rPr>
          <w:rFonts w:hint="eastAsia" w:ascii="仿宋_GB2312" w:eastAsia="仿宋_GB2312" w:cs="仿宋_GB2312"/>
          <w:kern w:val="0"/>
          <w:sz w:val="28"/>
          <w:szCs w:val="28"/>
        </w:rPr>
        <w:t>结论</w:t>
      </w:r>
    </w:p>
    <w:p>
      <w:pPr>
        <w:pStyle w:val="11"/>
        <w:ind w:left="0" w:firstLine="560"/>
        <w:rPr>
          <w:rFonts w:ascii="仿宋_GB2312" w:eastAsia="仿宋_GB2312" w:cs="仿宋_GB2312"/>
          <w:kern w:val="0"/>
          <w:sz w:val="28"/>
          <w:szCs w:val="28"/>
        </w:rPr>
      </w:pPr>
      <w:r>
        <w:rPr>
          <w:rFonts w:hint="eastAsia" w:ascii="仿宋_GB2312" w:eastAsia="仿宋_GB2312" w:cs="仿宋_GB2312"/>
          <w:kern w:val="0"/>
          <w:sz w:val="28"/>
          <w:szCs w:val="28"/>
          <w:lang w:val="en-US" w:eastAsia="zh-CN"/>
        </w:rPr>
        <w:t>建议</w:t>
      </w:r>
      <w:r>
        <w:rPr>
          <w:rFonts w:hint="eastAsia" w:ascii="仿宋_GB2312" w:eastAsia="仿宋_GB2312" w:cs="仿宋_GB2312"/>
          <w:kern w:val="0"/>
          <w:sz w:val="28"/>
          <w:szCs w:val="28"/>
        </w:rPr>
        <w:t>颁发专用条件《投水舱门设计》。</w:t>
      </w:r>
    </w:p>
    <w:p>
      <w:pPr>
        <w:ind w:left="0" w:firstLine="0"/>
        <w:rPr>
          <w:rFonts w:ascii="仿宋_GB2312" w:eastAsia="仿宋_GB2312" w:cs="仿宋_GB2312"/>
          <w:kern w:val="0"/>
          <w:sz w:val="28"/>
          <w:szCs w:val="28"/>
        </w:rPr>
      </w:pPr>
    </w:p>
    <w:p>
      <w:pPr>
        <w:ind w:left="0" w:firstLine="0"/>
        <w:rPr>
          <w:rFonts w:ascii="仿宋_GB2312" w:eastAsia="仿宋_GB2312" w:cs="仿宋_GB2312"/>
          <w:kern w:val="0"/>
          <w:sz w:val="28"/>
          <w:szCs w:val="28"/>
        </w:rPr>
      </w:pPr>
      <w:r>
        <w:rPr>
          <w:rFonts w:hint="eastAsia" w:ascii="仿宋_GB2312" w:eastAsia="仿宋_GB2312" w:cs="仿宋_GB2312"/>
          <w:kern w:val="0"/>
          <w:sz w:val="28"/>
          <w:szCs w:val="28"/>
        </w:rPr>
        <w:t>附：《专用条件/豁免反馈意见表》（表-21-145）</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Univers">
    <w:altName w:val="Arial"/>
    <w:panose1 w:val="00000000000000000000"/>
    <w:charset w:val="00"/>
    <w:family w:val="swiss"/>
    <w:pitch w:val="default"/>
    <w:sig w:usb0="00000000" w:usb1="00000000" w:usb2="00000000" w:usb3="00000000" w:csb0="0000000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pPr>
      <w:r>
        <w:separator/>
      </w:r>
    </w:p>
  </w:footnote>
  <w:footnote w:type="continuationSeparator" w:id="1">
    <w:p>
      <w:pPr>
        <w:spacing w:line="28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FD3B89"/>
    <w:multiLevelType w:val="multilevel"/>
    <w:tmpl w:val="5BFD3B8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0ZjgzMzhjMWMzMDNhMzRiNzBkYmFkZThmMDBlYzUifQ=="/>
  </w:docVars>
  <w:rsids>
    <w:rsidRoot w:val="00C4237C"/>
    <w:rsid w:val="000A2CD8"/>
    <w:rsid w:val="000C098F"/>
    <w:rsid w:val="000D5B65"/>
    <w:rsid w:val="00177B2F"/>
    <w:rsid w:val="001E62E3"/>
    <w:rsid w:val="00214613"/>
    <w:rsid w:val="002C3DA0"/>
    <w:rsid w:val="003C5A14"/>
    <w:rsid w:val="004032B3"/>
    <w:rsid w:val="004D10A1"/>
    <w:rsid w:val="00511C8E"/>
    <w:rsid w:val="00535560"/>
    <w:rsid w:val="0056230A"/>
    <w:rsid w:val="005B75B4"/>
    <w:rsid w:val="005B7900"/>
    <w:rsid w:val="00695FA2"/>
    <w:rsid w:val="00700293"/>
    <w:rsid w:val="007251D3"/>
    <w:rsid w:val="00726213"/>
    <w:rsid w:val="00752369"/>
    <w:rsid w:val="00754097"/>
    <w:rsid w:val="00793A3C"/>
    <w:rsid w:val="007F42B8"/>
    <w:rsid w:val="009A03DA"/>
    <w:rsid w:val="009D7FCF"/>
    <w:rsid w:val="009E0619"/>
    <w:rsid w:val="009E385A"/>
    <w:rsid w:val="00A87761"/>
    <w:rsid w:val="00A90DB9"/>
    <w:rsid w:val="00B561F5"/>
    <w:rsid w:val="00B73F9E"/>
    <w:rsid w:val="00BC5962"/>
    <w:rsid w:val="00BF52F9"/>
    <w:rsid w:val="00C37B0B"/>
    <w:rsid w:val="00C4237C"/>
    <w:rsid w:val="00E56863"/>
    <w:rsid w:val="00F26039"/>
    <w:rsid w:val="11406595"/>
    <w:rsid w:val="11E835A7"/>
    <w:rsid w:val="145631F5"/>
    <w:rsid w:val="150F5414"/>
    <w:rsid w:val="188277AF"/>
    <w:rsid w:val="1C115F33"/>
    <w:rsid w:val="1CC07414"/>
    <w:rsid w:val="39D74761"/>
    <w:rsid w:val="3E7A6362"/>
    <w:rsid w:val="44D47F78"/>
    <w:rsid w:val="4F877F13"/>
    <w:rsid w:val="4FEA1783"/>
    <w:rsid w:val="50050ED9"/>
    <w:rsid w:val="5DDD0734"/>
    <w:rsid w:val="6533123F"/>
    <w:rsid w:val="6BD34359"/>
    <w:rsid w:val="74EB32AD"/>
    <w:rsid w:val="7BF85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288" w:lineRule="auto"/>
      <w:ind w:left="425" w:hanging="425"/>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4"/>
    <w:autoRedefine/>
    <w:qFormat/>
    <w:uiPriority w:val="0"/>
    <w:pPr>
      <w:adjustRightInd w:val="0"/>
      <w:spacing w:line="360" w:lineRule="atLeast"/>
      <w:ind w:left="0" w:firstLine="0"/>
      <w:jc w:val="left"/>
      <w:textAlignment w:val="baseline"/>
    </w:pPr>
    <w:rPr>
      <w:rFonts w:ascii="Times New Roman" w:hAnsi="Times New Roman" w:eastAsia="仿宋_GB2312" w:cs="Times New Roman"/>
      <w:kern w:val="0"/>
      <w:sz w:val="28"/>
      <w:szCs w:val="20"/>
    </w:rPr>
  </w:style>
  <w:style w:type="paragraph" w:styleId="3">
    <w:name w:val="Body Text"/>
    <w:basedOn w:val="1"/>
    <w:link w:val="12"/>
    <w:autoRedefine/>
    <w:qFormat/>
    <w:uiPriority w:val="0"/>
    <w:pPr>
      <w:overflowPunct w:val="0"/>
      <w:autoSpaceDE w:val="0"/>
      <w:autoSpaceDN w:val="0"/>
      <w:adjustRightInd w:val="0"/>
      <w:spacing w:line="240" w:lineRule="auto"/>
      <w:ind w:left="0" w:firstLine="0"/>
      <w:textAlignment w:val="baseline"/>
    </w:pPr>
    <w:rPr>
      <w:rFonts w:ascii="Univers" w:hAnsi="Univers" w:eastAsia="宋体" w:cs="Times New Roman"/>
      <w:kern w:val="0"/>
      <w:sz w:val="22"/>
      <w:szCs w:val="20"/>
      <w:lang w:eastAsia="en-US"/>
    </w:rPr>
  </w:style>
  <w:style w:type="paragraph" w:styleId="4">
    <w:name w:val="Balloon Text"/>
    <w:basedOn w:val="1"/>
    <w:link w:val="15"/>
    <w:autoRedefine/>
    <w:semiHidden/>
    <w:unhideWhenUsed/>
    <w:qFormat/>
    <w:uiPriority w:val="99"/>
    <w:pPr>
      <w:spacing w:line="240" w:lineRule="auto"/>
    </w:pPr>
    <w:rPr>
      <w:sz w:val="18"/>
      <w:szCs w:val="18"/>
    </w:rPr>
  </w:style>
  <w:style w:type="paragraph" w:styleId="5">
    <w:name w:val="footer"/>
    <w:basedOn w:val="1"/>
    <w:link w:val="10"/>
    <w:autoRedefine/>
    <w:semiHidden/>
    <w:unhideWhenUsed/>
    <w:qFormat/>
    <w:uiPriority w:val="99"/>
    <w:pPr>
      <w:tabs>
        <w:tab w:val="center" w:pos="4153"/>
        <w:tab w:val="right" w:pos="8306"/>
      </w:tabs>
      <w:snapToGrid w:val="0"/>
      <w:spacing w:line="240" w:lineRule="auto"/>
      <w:jc w:val="left"/>
    </w:pPr>
    <w:rPr>
      <w:sz w:val="18"/>
      <w:szCs w:val="18"/>
    </w:rPr>
  </w:style>
  <w:style w:type="paragraph" w:styleId="6">
    <w:name w:val="header"/>
    <w:basedOn w:val="1"/>
    <w:link w:val="9"/>
    <w:autoRedefine/>
    <w:semiHidden/>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9">
    <w:name w:val="页眉 Char"/>
    <w:basedOn w:val="8"/>
    <w:link w:val="6"/>
    <w:autoRedefine/>
    <w:semiHidden/>
    <w:qFormat/>
    <w:uiPriority w:val="99"/>
    <w:rPr>
      <w:sz w:val="18"/>
      <w:szCs w:val="18"/>
    </w:rPr>
  </w:style>
  <w:style w:type="character" w:customStyle="1" w:styleId="10">
    <w:name w:val="页脚 Char"/>
    <w:basedOn w:val="8"/>
    <w:link w:val="5"/>
    <w:autoRedefine/>
    <w:semiHidden/>
    <w:qFormat/>
    <w:uiPriority w:val="99"/>
    <w:rPr>
      <w:sz w:val="18"/>
      <w:szCs w:val="18"/>
    </w:rPr>
  </w:style>
  <w:style w:type="paragraph" w:styleId="11">
    <w:name w:val="List Paragraph"/>
    <w:basedOn w:val="1"/>
    <w:autoRedefine/>
    <w:qFormat/>
    <w:uiPriority w:val="34"/>
    <w:pPr>
      <w:ind w:firstLine="420" w:firstLineChars="200"/>
    </w:pPr>
  </w:style>
  <w:style w:type="character" w:customStyle="1" w:styleId="12">
    <w:name w:val="正文文本 Char"/>
    <w:basedOn w:val="8"/>
    <w:link w:val="3"/>
    <w:autoRedefine/>
    <w:qFormat/>
    <w:uiPriority w:val="0"/>
    <w:rPr>
      <w:rFonts w:ascii="Univers" w:hAnsi="Univers" w:eastAsia="宋体" w:cs="Times New Roman"/>
      <w:kern w:val="0"/>
      <w:sz w:val="22"/>
      <w:szCs w:val="20"/>
      <w:lang w:eastAsia="en-US"/>
    </w:rPr>
  </w:style>
  <w:style w:type="character" w:customStyle="1" w:styleId="13">
    <w:name w:val="批注文字 Char"/>
    <w:basedOn w:val="8"/>
    <w:autoRedefine/>
    <w:semiHidden/>
    <w:qFormat/>
    <w:uiPriority w:val="99"/>
  </w:style>
  <w:style w:type="character" w:customStyle="1" w:styleId="14">
    <w:name w:val="批注文字 Char1"/>
    <w:link w:val="2"/>
    <w:autoRedefine/>
    <w:qFormat/>
    <w:uiPriority w:val="0"/>
    <w:rPr>
      <w:rFonts w:ascii="Times New Roman" w:hAnsi="Times New Roman" w:eastAsia="仿宋_GB2312" w:cs="Times New Roman"/>
      <w:kern w:val="0"/>
      <w:sz w:val="28"/>
      <w:szCs w:val="20"/>
    </w:rPr>
  </w:style>
  <w:style w:type="character" w:customStyle="1" w:styleId="15">
    <w:name w:val="批注框文本 Char"/>
    <w:basedOn w:val="8"/>
    <w:link w:val="4"/>
    <w:autoRedefine/>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155</Words>
  <Characters>885</Characters>
  <Lines>7</Lines>
  <Paragraphs>2</Paragraphs>
  <TotalTime>0</TotalTime>
  <ScaleCrop>false</ScaleCrop>
  <LinksUpToDate>false</LinksUpToDate>
  <CharactersWithSpaces>1038</CharactersWithSpaces>
  <Application>WPS Office_12.1.0.16704_F1E327BC-269C-435d-A152-05C5408002CA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2024-01-09T08:12:00Z</dcterms:created>
  <dc:creator>张恒瑞</dc:creator>
  <cp:lastModifiedBy>dell</cp:lastModifiedBy>
  <dcterms:modified xsi:type="dcterms:W3CDTF">2024-05-10T07:30:25Z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2052-12.1.0.16704</vt:lpwstr>
  </property>
  <property fmtid="{D5CDD505-2E9C-101B-9397-08002B2CF9AE}" pid="3" name="ICV">
    <vt:lpwstr>1BFBD1018A0E4985B8C7F3F6549D9D7C_13</vt:lpwstr>
  </property>
</Properties>
</file>