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E3885" w14:textId="46B9DC12" w:rsidR="00DE13D5" w:rsidRDefault="00000000">
      <w:pPr>
        <w:jc w:val="center"/>
        <w:rPr>
          <w:rFonts w:ascii="仿宋_GB2312" w:eastAsia="仿宋_GB2312" w:cs="仿宋_GB2312"/>
          <w:kern w:val="0"/>
          <w:sz w:val="28"/>
          <w:szCs w:val="28"/>
        </w:rPr>
      </w:pPr>
      <w:r>
        <w:rPr>
          <w:rFonts w:ascii="仿宋_GB2312" w:eastAsia="仿宋_GB2312" w:cs="仿宋_GB2312" w:hint="eastAsia"/>
          <w:kern w:val="0"/>
          <w:sz w:val="28"/>
          <w:szCs w:val="28"/>
        </w:rPr>
        <w:t>专用条件</w:t>
      </w:r>
      <w:r>
        <w:rPr>
          <w:rFonts w:ascii="仿宋_GB2312" w:eastAsia="仿宋_GB2312" w:cs="仿宋_GB2312"/>
          <w:kern w:val="0"/>
          <w:sz w:val="28"/>
          <w:szCs w:val="28"/>
          <w:u w:val="single"/>
        </w:rPr>
        <w:t xml:space="preserve"> </w:t>
      </w:r>
      <w:r>
        <w:rPr>
          <w:rFonts w:ascii="仿宋_GB2312" w:eastAsia="仿宋_GB2312" w:cs="仿宋_GB2312" w:hint="eastAsia"/>
          <w:kern w:val="0"/>
          <w:sz w:val="28"/>
          <w:szCs w:val="28"/>
          <w:u w:val="single"/>
        </w:rPr>
        <w:t xml:space="preserve">介质投放系统材料属性 </w:t>
      </w:r>
      <w:r>
        <w:rPr>
          <w:rFonts w:ascii="仿宋_GB2312" w:eastAsia="仿宋_GB2312" w:cs="仿宋_GB2312" w:hint="eastAsia"/>
          <w:kern w:val="0"/>
          <w:sz w:val="28"/>
          <w:szCs w:val="28"/>
        </w:rPr>
        <w:t>征求意见稿</w:t>
      </w:r>
    </w:p>
    <w:p w14:paraId="02AB2E79" w14:textId="396721AF" w:rsidR="00DE13D5" w:rsidRDefault="00000000">
      <w:pPr>
        <w:rPr>
          <w:rFonts w:ascii="仿宋_GB2312" w:eastAsia="仿宋_GB2312" w:cs="仿宋_GB2312" w:hint="eastAsia"/>
          <w:kern w:val="0"/>
          <w:sz w:val="28"/>
          <w:szCs w:val="28"/>
        </w:rPr>
      </w:pPr>
      <w:r>
        <w:rPr>
          <w:rFonts w:ascii="仿宋_GB2312" w:eastAsia="仿宋_GB2312" w:cs="仿宋_GB2312" w:hint="eastAsia"/>
          <w:kern w:val="0"/>
          <w:sz w:val="28"/>
          <w:szCs w:val="28"/>
        </w:rPr>
        <w:t>编号：</w:t>
      </w:r>
      <w:r w:rsidR="00580934" w:rsidRPr="00580934">
        <w:rPr>
          <w:rFonts w:ascii="仿宋_GB2312" w:eastAsia="仿宋_GB2312" w:cs="仿宋_GB2312"/>
          <w:kern w:val="0"/>
          <w:sz w:val="28"/>
          <w:szCs w:val="28"/>
        </w:rPr>
        <w:t>PSC-25-053</w:t>
      </w:r>
    </w:p>
    <w:p w14:paraId="7C227780" w14:textId="77777777" w:rsidR="00DE13D5" w:rsidRDefault="00000000">
      <w:pPr>
        <w:rPr>
          <w:rFonts w:ascii="仿宋_GB2312" w:eastAsia="仿宋_GB2312" w:cs="仿宋_GB2312"/>
          <w:kern w:val="0"/>
          <w:sz w:val="28"/>
          <w:szCs w:val="28"/>
        </w:rPr>
      </w:pPr>
      <w:r>
        <w:rPr>
          <w:rFonts w:ascii="仿宋_GB2312" w:eastAsia="仿宋_GB2312" w:cs="仿宋_GB2312" w:hint="eastAsia"/>
          <w:kern w:val="0"/>
          <w:sz w:val="28"/>
          <w:szCs w:val="28"/>
        </w:rPr>
        <w:t>反馈意见截止期：自通知颁发的10个工作日</w:t>
      </w:r>
    </w:p>
    <w:p w14:paraId="514F5566" w14:textId="77777777" w:rsidR="00DE13D5" w:rsidRDefault="00000000">
      <w:pPr>
        <w:pStyle w:val="ab"/>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概述</w:t>
      </w:r>
    </w:p>
    <w:p w14:paraId="6B8C0A2F" w14:textId="77777777" w:rsidR="00DE13D5" w:rsidRDefault="00000000">
      <w:pPr>
        <w:snapToGrid w:val="0"/>
        <w:spacing w:line="560" w:lineRule="exact"/>
        <w:ind w:left="0" w:firstLineChars="200" w:firstLine="560"/>
        <w:jc w:val="left"/>
        <w:rPr>
          <w:rFonts w:ascii="仿宋_GB2312" w:eastAsia="仿宋_GB2312" w:cs="仿宋_GB2312"/>
          <w:kern w:val="0"/>
          <w:sz w:val="28"/>
          <w:szCs w:val="28"/>
        </w:rPr>
      </w:pPr>
      <w:r>
        <w:rPr>
          <w:rFonts w:ascii="仿宋_GB2312" w:eastAsia="仿宋_GB2312" w:cs="仿宋_GB2312"/>
          <w:kern w:val="0"/>
          <w:sz w:val="28"/>
          <w:szCs w:val="28"/>
        </w:rPr>
        <w:t>MA</w:t>
      </w:r>
      <w:r>
        <w:rPr>
          <w:rFonts w:ascii="仿宋_GB2312" w:eastAsia="仿宋_GB2312" w:cs="仿宋_GB2312" w:hint="eastAsia"/>
          <w:kern w:val="0"/>
          <w:sz w:val="28"/>
          <w:szCs w:val="28"/>
        </w:rPr>
        <w:t>60型飞机灭火介质投放平台基本型（以下简称“</w:t>
      </w:r>
      <w:r>
        <w:rPr>
          <w:rFonts w:ascii="仿宋_GB2312" w:eastAsia="仿宋_GB2312" w:cs="仿宋_GB2312"/>
          <w:kern w:val="0"/>
          <w:sz w:val="28"/>
          <w:szCs w:val="28"/>
        </w:rPr>
        <w:t>MA60</w:t>
      </w:r>
      <w:r>
        <w:rPr>
          <w:rFonts w:ascii="仿宋_GB2312" w:eastAsia="仿宋_GB2312" w:cs="仿宋_GB2312" w:hint="eastAsia"/>
          <w:kern w:val="0"/>
          <w:sz w:val="28"/>
          <w:szCs w:val="28"/>
        </w:rPr>
        <w:t>型飞机灭火介质投放平台”）具有灭火介质存储的功能。灭火介质除水外，还会采用符合GB17835（水系灭火剂）相关要求、PH值介于6.0－9.5的水系灭火剂及染色剂。</w:t>
      </w:r>
    </w:p>
    <w:p w14:paraId="766FAEFF" w14:textId="77777777" w:rsidR="00DE13D5" w:rsidRDefault="00000000">
      <w:pPr>
        <w:snapToGrid w:val="0"/>
        <w:spacing w:line="560" w:lineRule="exact"/>
        <w:ind w:left="0"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飞机执行灭火介质投放任务的过程中，由于水箱（含地板以上加注管道、溢流管道）、盒形体（含地板以下配平管道、投水舱门）组成的存储装置需要储备灭火介质，由此带来腐蚀问题。</w:t>
      </w:r>
    </w:p>
    <w:p w14:paraId="35996BA4" w14:textId="77777777" w:rsidR="00DE13D5" w:rsidRDefault="00000000">
      <w:pPr>
        <w:pStyle w:val="ab"/>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背景</w:t>
      </w:r>
    </w:p>
    <w:p w14:paraId="59C347EC" w14:textId="77777777" w:rsidR="00DE13D5" w:rsidRDefault="00000000">
      <w:pPr>
        <w:snapToGrid w:val="0"/>
        <w:spacing w:line="560" w:lineRule="exact"/>
        <w:ind w:left="0"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MA60型飞机灭火介质投放平台的机身舱内布置4个存储装置，每个存储装置可载水1500千克（升），共载水6000千克（升）。存储装置（单机4个）、水箱与机体结构贴合面密封橡胶件（单机4个）、投水舱门密封橡胶件（单机4个）及灭火介质存储区域以外的灭火介质投放控制设备等组成介质投放系统。</w:t>
      </w:r>
    </w:p>
    <w:p w14:paraId="33AAFE4E" w14:textId="77777777" w:rsidR="00DE13D5" w:rsidRDefault="00000000">
      <w:pPr>
        <w:snapToGrid w:val="0"/>
        <w:spacing w:line="560" w:lineRule="exact"/>
        <w:ind w:left="0"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飞机使用寿命30000飞行小时，25000次起落，25个日历年，三个指标先到者为准。执行单次任务时，灭火介质的储存时间约为1.5小时，预计每年浸泡在灭火介质中的时间为200小时。与常规运输类飞机运行环境相比，介质投放系统使用的材料暴露在灭火介质及其挥发物质的情况下，更容易发生腐蚀，存在渗漏、泄漏甚至降低结构承载能力的隐患，影响飞行安全。</w:t>
      </w:r>
    </w:p>
    <w:p w14:paraId="41EABA72" w14:textId="77777777" w:rsidR="00DE13D5" w:rsidRDefault="00000000">
      <w:pPr>
        <w:snapToGrid w:val="0"/>
        <w:spacing w:line="560" w:lineRule="exact"/>
        <w:ind w:left="0"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由于MA60型飞机灭火介质投放平台会存储灭火介质，其预期用</w:t>
      </w:r>
      <w:r>
        <w:rPr>
          <w:rFonts w:ascii="仿宋_GB2312" w:eastAsia="仿宋_GB2312" w:cs="仿宋_GB2312" w:hint="eastAsia"/>
          <w:kern w:val="0"/>
          <w:sz w:val="28"/>
          <w:szCs w:val="28"/>
        </w:rPr>
        <w:lastRenderedPageBreak/>
        <w:t>途是非常规的，现有适航规章未包含适当的或者足够的安全要求，根据《民用航空产品和零部件合格审定规定》（CCAR-21-R5）第21.16条规定，为确保MA60型飞机灭火介质投放平台的飞行安全，特制定专用条件。</w:t>
      </w:r>
    </w:p>
    <w:p w14:paraId="64FF8586" w14:textId="77777777" w:rsidR="00DE13D5" w:rsidRDefault="00000000">
      <w:pPr>
        <w:pStyle w:val="ab"/>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适用范围</w:t>
      </w:r>
    </w:p>
    <w:p w14:paraId="39B244EA" w14:textId="77777777" w:rsidR="00DE13D5" w:rsidRDefault="00000000">
      <w:pPr>
        <w:snapToGrid w:val="0"/>
        <w:spacing w:line="560" w:lineRule="exact"/>
        <w:ind w:left="0"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本专用条件适用于MA60型飞机灭火介质投放平台基本型。</w:t>
      </w:r>
    </w:p>
    <w:p w14:paraId="070A99AE" w14:textId="77777777" w:rsidR="00DE13D5" w:rsidRDefault="00000000">
      <w:pPr>
        <w:pStyle w:val="ab"/>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专用条件草案</w:t>
      </w:r>
    </w:p>
    <w:p w14:paraId="3CB6656E" w14:textId="77777777" w:rsidR="00DE13D5" w:rsidRDefault="00000000">
      <w:pPr>
        <w:autoSpaceDE w:val="0"/>
        <w:autoSpaceDN w:val="0"/>
        <w:adjustRightInd w:val="0"/>
        <w:snapToGrid w:val="0"/>
        <w:spacing w:line="560" w:lineRule="exact"/>
        <w:ind w:firstLine="1"/>
        <w:jc w:val="left"/>
        <w:rPr>
          <w:rFonts w:ascii="仿宋_GB2312" w:eastAsia="仿宋_GB2312" w:hAnsi="宋体"/>
          <w:sz w:val="28"/>
          <w:szCs w:val="28"/>
        </w:rPr>
      </w:pPr>
      <w:r>
        <w:rPr>
          <w:rFonts w:ascii="仿宋_GB2312" w:eastAsia="仿宋_GB2312" w:hAnsi="宋体" w:hint="eastAsia"/>
          <w:sz w:val="28"/>
          <w:szCs w:val="28"/>
        </w:rPr>
        <w:t>（a）介质投放系统使用的材料暴露在灭火介质及其挥发物质的情况下，必须制定有效措施避免材料出现性能下降、硬化、软化、缩水、膨胀、溶解等情况。</w:t>
      </w:r>
    </w:p>
    <w:p w14:paraId="3C5DEFCC" w14:textId="77777777" w:rsidR="00DE13D5" w:rsidRDefault="00000000">
      <w:pPr>
        <w:autoSpaceDE w:val="0"/>
        <w:autoSpaceDN w:val="0"/>
        <w:adjustRightInd w:val="0"/>
        <w:snapToGrid w:val="0"/>
        <w:spacing w:line="560" w:lineRule="exact"/>
        <w:ind w:firstLine="1"/>
        <w:jc w:val="left"/>
        <w:rPr>
          <w:rFonts w:ascii="仿宋_GB2312" w:eastAsia="仿宋_GB2312" w:hAnsi="宋体"/>
          <w:sz w:val="28"/>
          <w:szCs w:val="28"/>
        </w:rPr>
      </w:pPr>
      <w:r>
        <w:rPr>
          <w:rFonts w:ascii="仿宋_GB2312" w:eastAsia="仿宋_GB2312" w:hAnsi="宋体" w:hint="eastAsia"/>
          <w:sz w:val="28"/>
          <w:szCs w:val="28"/>
        </w:rPr>
        <w:t>（b）介质投放系统使用材料和灭火介质的适用性和耐久性必须满足以下要求：</w:t>
      </w:r>
    </w:p>
    <w:p w14:paraId="7AC53FD8" w14:textId="77777777" w:rsidR="00DE13D5" w:rsidRDefault="00000000">
      <w:pPr>
        <w:autoSpaceDE w:val="0"/>
        <w:autoSpaceDN w:val="0"/>
        <w:adjustRightInd w:val="0"/>
        <w:snapToGrid w:val="0"/>
        <w:spacing w:line="560" w:lineRule="exact"/>
        <w:ind w:firstLineChars="270" w:firstLine="756"/>
        <w:jc w:val="left"/>
        <w:rPr>
          <w:rFonts w:ascii="仿宋_GB2312" w:eastAsia="仿宋_GB2312" w:hAnsi="宋体"/>
          <w:sz w:val="28"/>
          <w:szCs w:val="28"/>
        </w:rPr>
      </w:pPr>
      <w:r>
        <w:rPr>
          <w:rFonts w:ascii="仿宋_GB2312" w:eastAsia="仿宋_GB2312" w:hAnsi="宋体" w:hint="eastAsia"/>
          <w:sz w:val="28"/>
          <w:szCs w:val="28"/>
        </w:rPr>
        <w:t>（1）建立在经验或试验的基础上；</w:t>
      </w:r>
    </w:p>
    <w:p w14:paraId="7C2F4065" w14:textId="77777777" w:rsidR="00DE13D5" w:rsidRDefault="00000000">
      <w:pPr>
        <w:autoSpaceDE w:val="0"/>
        <w:autoSpaceDN w:val="0"/>
        <w:adjustRightInd w:val="0"/>
        <w:snapToGrid w:val="0"/>
        <w:spacing w:line="560" w:lineRule="exact"/>
        <w:ind w:firstLineChars="270" w:firstLine="756"/>
        <w:jc w:val="left"/>
        <w:rPr>
          <w:rFonts w:ascii="仿宋_GB2312" w:eastAsia="仿宋_GB2312" w:hAnsi="宋体"/>
          <w:sz w:val="28"/>
          <w:szCs w:val="28"/>
        </w:rPr>
      </w:pPr>
      <w:r>
        <w:rPr>
          <w:rFonts w:ascii="仿宋_GB2312" w:eastAsia="仿宋_GB2312" w:hAnsi="宋体" w:hint="eastAsia"/>
          <w:sz w:val="28"/>
          <w:szCs w:val="28"/>
        </w:rPr>
        <w:t>（2）符合经批准的标准。</w:t>
      </w:r>
    </w:p>
    <w:p w14:paraId="3BC65781" w14:textId="77777777" w:rsidR="00DE13D5" w:rsidRDefault="00000000">
      <w:pPr>
        <w:pStyle w:val="ab"/>
        <w:numPr>
          <w:ilvl w:val="0"/>
          <w:numId w:val="1"/>
        </w:numPr>
        <w:ind w:firstLineChars="0"/>
        <w:rPr>
          <w:rFonts w:ascii="仿宋_GB2312" w:eastAsia="仿宋_GB2312" w:cs="仿宋_GB2312"/>
          <w:kern w:val="0"/>
          <w:sz w:val="28"/>
          <w:szCs w:val="28"/>
        </w:rPr>
      </w:pPr>
      <w:r>
        <w:rPr>
          <w:rFonts w:ascii="仿宋_GB2312" w:eastAsia="仿宋_GB2312" w:cs="仿宋_GB2312" w:hint="eastAsia"/>
          <w:kern w:val="0"/>
          <w:sz w:val="28"/>
          <w:szCs w:val="28"/>
        </w:rPr>
        <w:t>结论</w:t>
      </w:r>
    </w:p>
    <w:p w14:paraId="4317D099" w14:textId="77777777" w:rsidR="00DE13D5" w:rsidRDefault="00000000">
      <w:pPr>
        <w:pStyle w:val="ab"/>
        <w:ind w:left="0" w:firstLine="560"/>
        <w:rPr>
          <w:rFonts w:ascii="仿宋_GB2312" w:eastAsia="仿宋_GB2312" w:cs="仿宋_GB2312"/>
          <w:kern w:val="0"/>
          <w:sz w:val="28"/>
          <w:szCs w:val="28"/>
        </w:rPr>
      </w:pPr>
      <w:r>
        <w:rPr>
          <w:rFonts w:ascii="仿宋_GB2312" w:eastAsia="仿宋_GB2312" w:cs="仿宋_GB2312" w:hint="eastAsia"/>
          <w:kern w:val="0"/>
          <w:sz w:val="28"/>
          <w:szCs w:val="28"/>
        </w:rPr>
        <w:t>建议颁发专用条件《介质投放系统采用的材料属性》。</w:t>
      </w:r>
    </w:p>
    <w:p w14:paraId="03AA442B" w14:textId="77777777" w:rsidR="00DE13D5" w:rsidRDefault="00DE13D5">
      <w:pPr>
        <w:ind w:left="0" w:firstLine="0"/>
        <w:rPr>
          <w:rFonts w:ascii="仿宋_GB2312" w:eastAsia="仿宋_GB2312" w:cs="仿宋_GB2312"/>
          <w:kern w:val="0"/>
          <w:sz w:val="28"/>
          <w:szCs w:val="28"/>
        </w:rPr>
      </w:pPr>
    </w:p>
    <w:p w14:paraId="3605DD25" w14:textId="77777777" w:rsidR="00DE13D5" w:rsidRDefault="00000000">
      <w:pPr>
        <w:ind w:left="0" w:firstLine="0"/>
        <w:rPr>
          <w:rFonts w:ascii="仿宋_GB2312" w:eastAsia="仿宋_GB2312" w:cs="仿宋_GB2312"/>
          <w:kern w:val="0"/>
          <w:sz w:val="28"/>
          <w:szCs w:val="28"/>
        </w:rPr>
      </w:pPr>
      <w:r>
        <w:rPr>
          <w:rFonts w:ascii="仿宋_GB2312" w:eastAsia="仿宋_GB2312" w:cs="仿宋_GB2312" w:hint="eastAsia"/>
          <w:kern w:val="0"/>
          <w:sz w:val="28"/>
          <w:szCs w:val="28"/>
        </w:rPr>
        <w:t>附：《专用条件/豁免反馈意见表》（表-21-145）</w:t>
      </w:r>
    </w:p>
    <w:sectPr w:rsidR="00DE1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57E0" w14:textId="77777777" w:rsidR="0063751D" w:rsidRDefault="0063751D">
      <w:pPr>
        <w:spacing w:line="240" w:lineRule="auto"/>
      </w:pPr>
      <w:r>
        <w:separator/>
      </w:r>
    </w:p>
  </w:endnote>
  <w:endnote w:type="continuationSeparator" w:id="0">
    <w:p w14:paraId="685E726A" w14:textId="77777777" w:rsidR="0063751D" w:rsidRDefault="00637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0CC1" w14:textId="77777777" w:rsidR="0063751D" w:rsidRDefault="0063751D">
      <w:r>
        <w:separator/>
      </w:r>
    </w:p>
  </w:footnote>
  <w:footnote w:type="continuationSeparator" w:id="0">
    <w:p w14:paraId="34142526" w14:textId="77777777" w:rsidR="0063751D" w:rsidRDefault="0063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D3B89"/>
    <w:multiLevelType w:val="multilevel"/>
    <w:tmpl w:val="5BFD3B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992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A0ZjgzMzhjMWMzMDNhMzRiNzBkYmFkZThmMDBlYzUifQ=="/>
  </w:docVars>
  <w:rsids>
    <w:rsidRoot w:val="00C4237C"/>
    <w:rsid w:val="00017EED"/>
    <w:rsid w:val="000B7C08"/>
    <w:rsid w:val="00177B2F"/>
    <w:rsid w:val="001826BC"/>
    <w:rsid w:val="00274DE7"/>
    <w:rsid w:val="002A0B33"/>
    <w:rsid w:val="003C5A14"/>
    <w:rsid w:val="004032B3"/>
    <w:rsid w:val="004C0329"/>
    <w:rsid w:val="00535560"/>
    <w:rsid w:val="00580934"/>
    <w:rsid w:val="005B75B4"/>
    <w:rsid w:val="005B7900"/>
    <w:rsid w:val="0063751D"/>
    <w:rsid w:val="00695FA2"/>
    <w:rsid w:val="00700293"/>
    <w:rsid w:val="007251D3"/>
    <w:rsid w:val="00726213"/>
    <w:rsid w:val="00752369"/>
    <w:rsid w:val="008A6D21"/>
    <w:rsid w:val="009D7FCF"/>
    <w:rsid w:val="009E0619"/>
    <w:rsid w:val="00A17BB6"/>
    <w:rsid w:val="00A87761"/>
    <w:rsid w:val="00A90DB9"/>
    <w:rsid w:val="00AC21DD"/>
    <w:rsid w:val="00B16BC0"/>
    <w:rsid w:val="00B4430F"/>
    <w:rsid w:val="00BF52F9"/>
    <w:rsid w:val="00C24A64"/>
    <w:rsid w:val="00C37B0B"/>
    <w:rsid w:val="00C4237C"/>
    <w:rsid w:val="00D27335"/>
    <w:rsid w:val="00D7565D"/>
    <w:rsid w:val="00DB0905"/>
    <w:rsid w:val="00DE13D5"/>
    <w:rsid w:val="00E56863"/>
    <w:rsid w:val="00E57EBB"/>
    <w:rsid w:val="00FB519B"/>
    <w:rsid w:val="019D7EC7"/>
    <w:rsid w:val="0BFD5BE3"/>
    <w:rsid w:val="0CAC6EFF"/>
    <w:rsid w:val="0CDC241D"/>
    <w:rsid w:val="208F1E39"/>
    <w:rsid w:val="2EB9650A"/>
    <w:rsid w:val="350217FD"/>
    <w:rsid w:val="42C13A57"/>
    <w:rsid w:val="47F9059F"/>
    <w:rsid w:val="53060259"/>
    <w:rsid w:val="572928A4"/>
    <w:rsid w:val="627E06D4"/>
    <w:rsid w:val="643E01B7"/>
    <w:rsid w:val="64B472D0"/>
    <w:rsid w:val="66196508"/>
    <w:rsid w:val="6CCF3746"/>
    <w:rsid w:val="70717261"/>
    <w:rsid w:val="77906BC3"/>
    <w:rsid w:val="7EB5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0140"/>
  <w15:docId w15:val="{8DBB6C48-36F9-4C29-998E-5284E98D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288" w:lineRule="auto"/>
      <w:ind w:left="425" w:hanging="425"/>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pPr>
      <w:overflowPunct w:val="0"/>
      <w:autoSpaceDE w:val="0"/>
      <w:autoSpaceDN w:val="0"/>
      <w:adjustRightInd w:val="0"/>
      <w:spacing w:line="240" w:lineRule="auto"/>
      <w:ind w:left="0" w:firstLine="0"/>
      <w:textAlignment w:val="baseline"/>
    </w:pPr>
    <w:rPr>
      <w:rFonts w:ascii="Univers" w:eastAsia="宋体" w:hAnsi="Univers" w:cs="Times New Roman"/>
      <w:kern w:val="0"/>
      <w:sz w:val="22"/>
      <w:szCs w:val="20"/>
      <w:lang w:eastAsia="en-US"/>
    </w:rPr>
  </w:style>
  <w:style w:type="paragraph" w:styleId="a5">
    <w:name w:val="Balloon Text"/>
    <w:basedOn w:val="a"/>
    <w:link w:val="a6"/>
    <w:autoRedefine/>
    <w:uiPriority w:val="99"/>
    <w:semiHidden/>
    <w:unhideWhenUsed/>
    <w:qFormat/>
    <w:pPr>
      <w:spacing w:line="240" w:lineRule="auto"/>
    </w:pPr>
    <w:rPr>
      <w:sz w:val="18"/>
      <w:szCs w:val="18"/>
    </w:rPr>
  </w:style>
  <w:style w:type="paragraph" w:styleId="a7">
    <w:name w:val="footer"/>
    <w:basedOn w:val="a"/>
    <w:link w:val="a8"/>
    <w:autoRedefine/>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b">
    <w:name w:val="List Paragraph"/>
    <w:basedOn w:val="a"/>
    <w:autoRedefine/>
    <w:uiPriority w:val="34"/>
    <w:qFormat/>
    <w:pPr>
      <w:ind w:firstLineChars="200" w:firstLine="420"/>
    </w:pPr>
  </w:style>
  <w:style w:type="character" w:customStyle="1" w:styleId="a4">
    <w:name w:val="正文文本 字符"/>
    <w:basedOn w:val="a0"/>
    <w:link w:val="a3"/>
    <w:autoRedefine/>
    <w:qFormat/>
    <w:rPr>
      <w:rFonts w:ascii="Univers" w:eastAsia="宋体" w:hAnsi="Univers" w:cs="Times New Roman"/>
      <w:kern w:val="0"/>
      <w:sz w:val="22"/>
      <w:szCs w:val="20"/>
      <w:lang w:eastAsia="en-US"/>
    </w:rPr>
  </w:style>
  <w:style w:type="character" w:customStyle="1" w:styleId="a6">
    <w:name w:val="批注框文本 字符"/>
    <w:basedOn w:val="a0"/>
    <w:link w:val="a5"/>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张恒瑞</dc:creator>
  <cp:lastModifiedBy>佳茵 兰</cp:lastModifiedBy>
  <cp:revision>11</cp:revision>
  <dcterms:created xsi:type="dcterms:W3CDTF">2024-01-09T08:12:00Z</dcterms:created>
  <dcterms:modified xsi:type="dcterms:W3CDTF">2024-05-11T01:47:00Z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090D727A3F1F446C8315E72795E08710_13</vt:lpwstr>
  </property>
</Properties>
</file>