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Y="314"/>
        <w:tblW w:w="0" w:type="auto"/>
        <w:tblInd w:w="0" w:type="dxa"/>
        <w:tblLayout w:type="fixed"/>
        <w:tblCellMar>
          <w:top w:w="0" w:type="dxa"/>
          <w:left w:w="108" w:type="dxa"/>
          <w:bottom w:w="0" w:type="dxa"/>
          <w:right w:w="108" w:type="dxa"/>
        </w:tblCellMar>
      </w:tblPr>
      <w:tblGrid>
        <w:gridCol w:w="4564"/>
        <w:gridCol w:w="646"/>
        <w:gridCol w:w="2706"/>
        <w:gridCol w:w="498"/>
      </w:tblGrid>
      <w:tr>
        <w:tblPrEx>
          <w:tblCellMar>
            <w:top w:w="0" w:type="dxa"/>
            <w:left w:w="108" w:type="dxa"/>
            <w:bottom w:w="0" w:type="dxa"/>
            <w:right w:w="108" w:type="dxa"/>
          </w:tblCellMar>
        </w:tblPrEx>
        <w:tc>
          <w:tcPr>
            <w:tcW w:w="4564" w:type="dxa"/>
            <w:noWrap w:val="0"/>
            <w:vAlign w:val="center"/>
          </w:tcPr>
          <w:p>
            <w:pPr>
              <w:pStyle w:val="17"/>
              <w:spacing w:line="360" w:lineRule="auto"/>
              <w:ind w:firstLine="0" w:firstLineChars="0"/>
              <w:jc w:val="center"/>
              <w:rPr>
                <w:b/>
                <w:bCs/>
                <w:color w:val="auto"/>
                <w:kern w:val="44"/>
                <w:sz w:val="44"/>
                <w:szCs w:val="44"/>
                <w:highlight w:val="none"/>
              </w:rPr>
            </w:pPr>
            <w:bookmarkStart w:id="42" w:name="_GoBack"/>
            <w:bookmarkEnd w:id="42"/>
            <w:r>
              <w:rPr>
                <w:color w:val="auto"/>
                <w:highlight w:val="none"/>
              </w:rPr>
              <w:object>
                <v:shape id="_x0000_i1025" o:spt="75" type="#_x0000_t75" style="height:57.05pt;width:210.55pt;" o:ole="t" filled="f" stroked="f" coordsize="21600,21600">
                  <v:path/>
                  <v:fill on="f" focussize="0,0"/>
                  <v:stroke on="f"/>
                  <v:imagedata r:id="rId8" o:title=""/>
                  <o:lock v:ext="edit" grouping="f" rotation="f" text="f" aspectratio="t"/>
                  <w10:wrap type="none"/>
                  <w10:anchorlock/>
                </v:shape>
                <o:OLEObject Type="Embed" ProgID="Visio.Drawing.11" ShapeID="_x0000_i1025" DrawAspect="Content" ObjectID="_1468075725" r:id="rId7">
                  <o:LockedField>false</o:LockedField>
                </o:OLEObject>
              </w:object>
            </w:r>
          </w:p>
        </w:tc>
        <w:tc>
          <w:tcPr>
            <w:tcW w:w="646" w:type="dxa"/>
            <w:noWrap w:val="0"/>
            <w:vAlign w:val="center"/>
          </w:tcPr>
          <w:p>
            <w:pPr>
              <w:pStyle w:val="17"/>
              <w:spacing w:line="360" w:lineRule="auto"/>
              <w:ind w:firstLine="0" w:firstLineChars="0"/>
              <w:jc w:val="center"/>
              <w:rPr>
                <w:rFonts w:ascii="方正小标宋简体" w:eastAsia="方正小标宋简体"/>
                <w:bCs/>
                <w:color w:val="auto"/>
                <w:kern w:val="44"/>
                <w:sz w:val="52"/>
                <w:szCs w:val="52"/>
                <w:highlight w:val="none"/>
              </w:rPr>
            </w:pPr>
          </w:p>
        </w:tc>
        <w:tc>
          <w:tcPr>
            <w:tcW w:w="2706" w:type="dxa"/>
            <w:noWrap w:val="0"/>
            <w:vAlign w:val="center"/>
          </w:tcPr>
          <w:p>
            <w:pPr>
              <w:pStyle w:val="17"/>
              <w:spacing w:line="360" w:lineRule="auto"/>
              <w:ind w:firstLine="0" w:firstLineChars="0"/>
              <w:jc w:val="distribute"/>
              <w:rPr>
                <w:rFonts w:ascii="方正小标宋简体" w:eastAsia="方正小标宋简体"/>
                <w:bCs/>
                <w:color w:val="auto"/>
                <w:kern w:val="44"/>
                <w:sz w:val="52"/>
                <w:szCs w:val="52"/>
                <w:highlight w:val="none"/>
              </w:rPr>
            </w:pPr>
            <w:r>
              <w:rPr>
                <w:rFonts w:hint="eastAsia" w:ascii="华文中宋" w:hAnsi="华文中宋" w:eastAsia="华文中宋"/>
                <w:color w:val="auto"/>
                <w:spacing w:val="36"/>
                <w:kern w:val="44"/>
                <w:sz w:val="52"/>
                <w:highlight w:val="none"/>
              </w:rPr>
              <w:t>管理程序</w:t>
            </w:r>
          </w:p>
        </w:tc>
        <w:tc>
          <w:tcPr>
            <w:tcW w:w="498" w:type="dxa"/>
            <w:noWrap w:val="0"/>
            <w:vAlign w:val="center"/>
          </w:tcPr>
          <w:p>
            <w:pPr>
              <w:widowControl/>
              <w:jc w:val="left"/>
              <w:rPr>
                <w:rFonts w:ascii="方正小标宋简体" w:eastAsia="方正小标宋简体"/>
                <w:bCs/>
                <w:color w:val="auto"/>
                <w:kern w:val="44"/>
                <w:sz w:val="52"/>
                <w:szCs w:val="52"/>
                <w:highlight w:val="none"/>
              </w:rPr>
            </w:pPr>
          </w:p>
          <w:p>
            <w:pPr>
              <w:pStyle w:val="17"/>
              <w:spacing w:line="360" w:lineRule="auto"/>
              <w:ind w:firstLine="0" w:firstLineChars="0"/>
              <w:jc w:val="center"/>
              <w:rPr>
                <w:rFonts w:ascii="方正小标宋简体" w:eastAsia="方正小标宋简体"/>
                <w:bCs/>
                <w:color w:val="auto"/>
                <w:kern w:val="44"/>
                <w:sz w:val="52"/>
                <w:szCs w:val="52"/>
                <w:highlight w:val="none"/>
              </w:rPr>
            </w:pPr>
          </w:p>
        </w:tc>
      </w:tr>
      <w:tr>
        <w:tblPrEx>
          <w:tblCellMar>
            <w:top w:w="0" w:type="dxa"/>
            <w:left w:w="108" w:type="dxa"/>
            <w:bottom w:w="0" w:type="dxa"/>
            <w:right w:w="108" w:type="dxa"/>
          </w:tblCellMar>
        </w:tblPrEx>
        <w:trPr>
          <w:trHeight w:val="780" w:hRule="atLeast"/>
        </w:trPr>
        <w:tc>
          <w:tcPr>
            <w:tcW w:w="4564" w:type="dxa"/>
            <w:noWrap w:val="0"/>
            <w:vAlign w:val="top"/>
          </w:tcPr>
          <w:p>
            <w:pPr>
              <w:pStyle w:val="17"/>
              <w:ind w:firstLine="0" w:firstLineChars="0"/>
              <w:jc w:val="distribute"/>
              <w:rPr>
                <w:rFonts w:ascii="黑体" w:eastAsia="黑体"/>
                <w:color w:val="auto"/>
                <w:sz w:val="32"/>
                <w:szCs w:val="32"/>
                <w:highlight w:val="none"/>
              </w:rPr>
            </w:pPr>
            <w:r>
              <w:rPr>
                <w:rFonts w:hint="eastAsia" w:ascii="仿宋_GB2312" w:eastAsia="仿宋_GB2312"/>
                <w:color w:val="auto"/>
                <w:kern w:val="44"/>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424815</wp:posOffset>
                      </wp:positionV>
                      <wp:extent cx="56038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3875" cy="635"/>
                              </a:xfrm>
                              <a:prstGeom prst="line">
                                <a:avLst/>
                              </a:prstGeom>
                              <a:ln w="9525" cap="flat" cmpd="sng">
                                <a:solidFill>
                                  <a:srgbClr val="008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pt;margin-top:33.45pt;height:0.05pt;width:441.25pt;z-index:251659264;mso-width-relative:page;mso-height-relative:page;" filled="f" stroked="t" coordsize="21600,21600" o:gfxdata="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aAz9tsAAAAJAQAADwAAAAAAAAABACAAAAAiAAAAZHJzL2Rvd25yZXYu&#10;eG1sUEsBAhQAFAAAAAgAh07iQE1lxbv4AQAA5gMAAA4AAAAAAAAAAQAgAAAAKgEAAGRycy9lMm9E&#10;b2MueG1sUEsFBgAAAAAGAAYAWQEAAJQFAAAAAA==&#10;">
                      <v:fill on="f" focussize="0,0"/>
                      <v:stroke color="#008000" joinstyle="round"/>
                      <v:imagedata o:title=""/>
                      <o:lock v:ext="edit" aspectratio="f"/>
                    </v:line>
                  </w:pict>
                </mc:Fallback>
              </mc:AlternateContent>
            </w:r>
            <w:r>
              <w:rPr>
                <w:rFonts w:hint="eastAsia" w:ascii="黑体" w:eastAsia="黑体"/>
                <w:color w:val="auto"/>
                <w:spacing w:val="26"/>
                <w:sz w:val="32"/>
                <w:highlight w:val="none"/>
              </w:rPr>
              <w:t>中国民用航空局机场司</w:t>
            </w:r>
          </w:p>
        </w:tc>
        <w:tc>
          <w:tcPr>
            <w:tcW w:w="646" w:type="dxa"/>
            <w:noWrap w:val="0"/>
            <w:vAlign w:val="top"/>
          </w:tcPr>
          <w:p>
            <w:pPr>
              <w:pStyle w:val="17"/>
              <w:spacing w:line="360" w:lineRule="auto"/>
              <w:ind w:firstLine="0" w:firstLineChars="0"/>
              <w:jc w:val="center"/>
              <w:rPr>
                <w:b/>
                <w:bCs/>
                <w:color w:val="auto"/>
                <w:kern w:val="44"/>
                <w:sz w:val="44"/>
                <w:szCs w:val="44"/>
                <w:highlight w:val="none"/>
              </w:rPr>
            </w:pPr>
          </w:p>
        </w:tc>
        <w:tc>
          <w:tcPr>
            <w:tcW w:w="2706" w:type="dxa"/>
            <w:noWrap w:val="0"/>
            <w:vAlign w:val="top"/>
          </w:tcPr>
          <w:p>
            <w:pPr>
              <w:pStyle w:val="17"/>
              <w:spacing w:line="360" w:lineRule="auto"/>
              <w:ind w:firstLine="0" w:firstLineChars="0"/>
              <w:jc w:val="center"/>
              <w:rPr>
                <w:b/>
                <w:bCs/>
                <w:color w:val="auto"/>
                <w:kern w:val="44"/>
                <w:sz w:val="44"/>
                <w:szCs w:val="44"/>
                <w:highlight w:val="none"/>
              </w:rPr>
            </w:pPr>
          </w:p>
        </w:tc>
        <w:tc>
          <w:tcPr>
            <w:tcW w:w="498" w:type="dxa"/>
            <w:noWrap w:val="0"/>
            <w:vAlign w:val="top"/>
          </w:tcPr>
          <w:p>
            <w:pPr>
              <w:pStyle w:val="17"/>
              <w:spacing w:line="360" w:lineRule="auto"/>
              <w:ind w:firstLine="0" w:firstLineChars="0"/>
              <w:jc w:val="center"/>
              <w:rPr>
                <w:b/>
                <w:bCs/>
                <w:color w:val="auto"/>
                <w:kern w:val="44"/>
                <w:sz w:val="44"/>
                <w:szCs w:val="44"/>
                <w:highlight w:val="none"/>
              </w:rPr>
            </w:pPr>
          </w:p>
        </w:tc>
      </w:tr>
    </w:tbl>
    <w:p>
      <w:pPr>
        <w:pStyle w:val="17"/>
        <w:spacing w:line="360" w:lineRule="auto"/>
        <w:ind w:right="-386" w:firstLine="4200" w:firstLineChars="1400"/>
        <w:rPr>
          <w:rFonts w:hint="eastAsia" w:ascii="仿宋_GB2312" w:eastAsia="仿宋_GB2312"/>
          <w:bCs/>
          <w:color w:val="auto"/>
          <w:kern w:val="44"/>
          <w:sz w:val="30"/>
          <w:szCs w:val="30"/>
          <w:highlight w:val="none"/>
          <w:lang w:eastAsia="zh-CN"/>
        </w:rPr>
      </w:pPr>
      <w:r>
        <w:rPr>
          <w:rFonts w:hint="eastAsia" w:ascii="仿宋_GB2312" w:eastAsia="仿宋_GB2312"/>
          <w:bCs/>
          <w:color w:val="auto"/>
          <w:kern w:val="44"/>
          <w:sz w:val="30"/>
          <w:szCs w:val="30"/>
          <w:highlight w:val="none"/>
        </w:rPr>
        <w:t>编    号：</w:t>
      </w:r>
      <w:r>
        <w:rPr>
          <w:rFonts w:ascii="Times New Roman" w:hAnsi="Times New Roman" w:eastAsia="仿宋_GB2312"/>
          <w:bCs/>
          <w:color w:val="auto"/>
          <w:spacing w:val="-6"/>
          <w:kern w:val="44"/>
          <w:sz w:val="30"/>
          <w:szCs w:val="30"/>
          <w:highlight w:val="none"/>
        </w:rPr>
        <w:t>A</w:t>
      </w:r>
      <w:r>
        <w:rPr>
          <w:rFonts w:hint="eastAsia" w:ascii="Times New Roman" w:hAnsi="Times New Roman" w:eastAsia="仿宋_GB2312"/>
          <w:bCs/>
          <w:color w:val="auto"/>
          <w:spacing w:val="-6"/>
          <w:kern w:val="44"/>
          <w:sz w:val="30"/>
          <w:szCs w:val="30"/>
          <w:highlight w:val="none"/>
          <w:lang w:val="en-US" w:eastAsia="zh-CN"/>
        </w:rPr>
        <w:t>P</w:t>
      </w:r>
      <w:r>
        <w:rPr>
          <w:rFonts w:ascii="Times New Roman" w:hAnsi="Times New Roman" w:eastAsia="仿宋_GB2312"/>
          <w:bCs/>
          <w:color w:val="auto"/>
          <w:spacing w:val="-6"/>
          <w:kern w:val="44"/>
          <w:sz w:val="30"/>
          <w:szCs w:val="30"/>
          <w:highlight w:val="none"/>
        </w:rPr>
        <w:t>-1</w:t>
      </w:r>
      <w:r>
        <w:rPr>
          <w:rFonts w:hint="eastAsia" w:ascii="Times New Roman" w:hAnsi="Times New Roman" w:eastAsia="仿宋_GB2312"/>
          <w:bCs/>
          <w:color w:val="auto"/>
          <w:spacing w:val="-6"/>
          <w:kern w:val="44"/>
          <w:sz w:val="30"/>
          <w:szCs w:val="30"/>
          <w:highlight w:val="none"/>
        </w:rPr>
        <w:t>37</w:t>
      </w:r>
      <w:r>
        <w:rPr>
          <w:rFonts w:ascii="Times New Roman" w:hAnsi="Times New Roman" w:eastAsia="仿宋_GB2312"/>
          <w:bCs/>
          <w:color w:val="auto"/>
          <w:spacing w:val="-6"/>
          <w:kern w:val="44"/>
          <w:sz w:val="30"/>
          <w:szCs w:val="30"/>
          <w:highlight w:val="none"/>
        </w:rPr>
        <w:t>-CA-20</w:t>
      </w:r>
      <w:r>
        <w:rPr>
          <w:rFonts w:hint="eastAsia" w:ascii="Times New Roman" w:hAnsi="Times New Roman" w:eastAsia="仿宋_GB2312"/>
          <w:bCs/>
          <w:color w:val="auto"/>
          <w:spacing w:val="-6"/>
          <w:kern w:val="44"/>
          <w:sz w:val="30"/>
          <w:szCs w:val="30"/>
          <w:highlight w:val="none"/>
          <w:lang w:val="en-US" w:eastAsia="zh-CN"/>
        </w:rPr>
        <w:t>XX</w:t>
      </w:r>
      <w:r>
        <w:rPr>
          <w:rFonts w:ascii="Times New Roman" w:hAnsi="Times New Roman" w:eastAsia="仿宋_GB2312"/>
          <w:bCs/>
          <w:color w:val="auto"/>
          <w:spacing w:val="-6"/>
          <w:kern w:val="44"/>
          <w:sz w:val="30"/>
          <w:szCs w:val="30"/>
          <w:highlight w:val="none"/>
        </w:rPr>
        <w:t>-</w:t>
      </w:r>
      <w:r>
        <w:rPr>
          <w:rFonts w:hint="eastAsia" w:ascii="Times New Roman" w:hAnsi="Times New Roman" w:eastAsia="仿宋_GB2312"/>
          <w:bCs/>
          <w:color w:val="auto"/>
          <w:spacing w:val="-6"/>
          <w:kern w:val="44"/>
          <w:sz w:val="30"/>
          <w:szCs w:val="30"/>
          <w:highlight w:val="none"/>
          <w:lang w:val="en-US" w:eastAsia="zh-CN"/>
        </w:rPr>
        <w:t>XX</w:t>
      </w:r>
    </w:p>
    <w:p>
      <w:pPr>
        <w:pStyle w:val="17"/>
        <w:wordWrap w:val="0"/>
        <w:spacing w:line="360" w:lineRule="auto"/>
        <w:ind w:firstLine="0" w:firstLineChars="0"/>
        <w:rPr>
          <w:rFonts w:ascii="仿宋_GB2312" w:eastAsia="仿宋_GB2312"/>
          <w:bCs/>
          <w:color w:val="auto"/>
          <w:kern w:val="44"/>
          <w:sz w:val="30"/>
          <w:szCs w:val="30"/>
          <w:highlight w:val="none"/>
        </w:rPr>
      </w:pPr>
      <w:r>
        <w:rPr>
          <w:rFonts w:hint="eastAsia" w:ascii="仿宋_GB2312" w:eastAsia="仿宋_GB2312"/>
          <w:bCs/>
          <w:color w:val="auto"/>
          <w:kern w:val="44"/>
          <w:sz w:val="30"/>
          <w:szCs w:val="30"/>
          <w:highlight w:val="none"/>
        </w:rPr>
        <w:t xml:space="preserve">　　                       </w:t>
      </w:r>
      <w:r>
        <w:rPr>
          <w:rFonts w:hint="eastAsia" w:ascii="仿宋_GB2312" w:eastAsia="仿宋_GB2312"/>
          <w:bCs/>
          <w:color w:val="auto"/>
          <w:kern w:val="44"/>
          <w:sz w:val="30"/>
          <w:szCs w:val="30"/>
          <w:highlight w:val="none"/>
          <w:lang w:val="en-US" w:eastAsia="zh-CN"/>
        </w:rPr>
        <w:t xml:space="preserve"> </w:t>
      </w:r>
      <w:r>
        <w:rPr>
          <w:rFonts w:hint="eastAsia" w:ascii="仿宋_GB2312" w:eastAsia="仿宋_GB2312"/>
          <w:bCs/>
          <w:color w:val="auto"/>
          <w:kern w:val="44"/>
          <w:sz w:val="30"/>
          <w:szCs w:val="30"/>
          <w:highlight w:val="none"/>
        </w:rPr>
        <w:t>下发日期：</w:t>
      </w:r>
      <w:r>
        <w:rPr>
          <w:rFonts w:ascii="Times New Roman" w:hAnsi="Times New Roman" w:eastAsia="仿宋_GB2312"/>
          <w:bCs/>
          <w:color w:val="auto"/>
          <w:spacing w:val="8"/>
          <w:kern w:val="44"/>
          <w:sz w:val="30"/>
          <w:szCs w:val="30"/>
          <w:highlight w:val="none"/>
        </w:rPr>
        <w:t>20</w:t>
      </w:r>
      <w:r>
        <w:rPr>
          <w:rFonts w:hint="eastAsia" w:ascii="Times New Roman" w:hAnsi="Times New Roman" w:eastAsia="仿宋_GB2312"/>
          <w:bCs/>
          <w:color w:val="auto"/>
          <w:spacing w:val="8"/>
          <w:kern w:val="44"/>
          <w:sz w:val="30"/>
          <w:szCs w:val="30"/>
          <w:highlight w:val="none"/>
          <w:lang w:val="en-US" w:eastAsia="zh-CN"/>
        </w:rPr>
        <w:t>XX</w:t>
      </w:r>
      <w:r>
        <w:rPr>
          <w:rFonts w:ascii="Times New Roman" w:hAnsi="Times New Roman" w:eastAsia="仿宋_GB2312"/>
          <w:bCs/>
          <w:color w:val="auto"/>
          <w:spacing w:val="8"/>
          <w:kern w:val="44"/>
          <w:sz w:val="30"/>
          <w:szCs w:val="30"/>
          <w:highlight w:val="none"/>
        </w:rPr>
        <w:t>年</w:t>
      </w:r>
      <w:r>
        <w:rPr>
          <w:rFonts w:hint="eastAsia" w:ascii="Times New Roman" w:hAnsi="Times New Roman" w:eastAsia="仿宋_GB2312"/>
          <w:bCs/>
          <w:color w:val="auto"/>
          <w:spacing w:val="8"/>
          <w:kern w:val="44"/>
          <w:sz w:val="30"/>
          <w:szCs w:val="30"/>
          <w:highlight w:val="none"/>
          <w:lang w:val="en-US" w:eastAsia="zh-CN"/>
        </w:rPr>
        <w:t>XX</w:t>
      </w:r>
      <w:r>
        <w:rPr>
          <w:rFonts w:ascii="Times New Roman" w:hAnsi="Times New Roman" w:eastAsia="仿宋_GB2312"/>
          <w:bCs/>
          <w:color w:val="auto"/>
          <w:spacing w:val="8"/>
          <w:kern w:val="44"/>
          <w:sz w:val="30"/>
          <w:szCs w:val="30"/>
          <w:highlight w:val="none"/>
        </w:rPr>
        <w:t>月</w:t>
      </w:r>
      <w:r>
        <w:rPr>
          <w:rFonts w:hint="eastAsia" w:ascii="Times New Roman" w:hAnsi="Times New Roman" w:eastAsia="仿宋_GB2312"/>
          <w:bCs/>
          <w:color w:val="auto"/>
          <w:spacing w:val="8"/>
          <w:kern w:val="44"/>
          <w:sz w:val="30"/>
          <w:szCs w:val="30"/>
          <w:highlight w:val="none"/>
          <w:lang w:val="en-US" w:eastAsia="zh-CN"/>
        </w:rPr>
        <w:t>XX</w:t>
      </w:r>
      <w:r>
        <w:rPr>
          <w:rFonts w:ascii="Times New Roman" w:hAnsi="Times New Roman" w:eastAsia="仿宋_GB2312"/>
          <w:bCs/>
          <w:color w:val="auto"/>
          <w:spacing w:val="8"/>
          <w:kern w:val="44"/>
          <w:sz w:val="30"/>
          <w:szCs w:val="30"/>
          <w:highlight w:val="none"/>
        </w:rPr>
        <w:t>日</w:t>
      </w:r>
    </w:p>
    <w:p>
      <w:pPr>
        <w:pStyle w:val="17"/>
        <w:wordWrap w:val="0"/>
        <w:spacing w:line="360" w:lineRule="auto"/>
        <w:ind w:right="-12" w:firstLine="0" w:firstLineChars="0"/>
        <w:rPr>
          <w:rFonts w:hint="eastAsia" w:ascii="仿宋_GB2312" w:eastAsia="仿宋_GB2312"/>
          <w:bCs/>
          <w:color w:val="003366"/>
          <w:kern w:val="44"/>
          <w:sz w:val="30"/>
          <w:szCs w:val="30"/>
          <w:highlight w:val="none"/>
        </w:rPr>
      </w:pPr>
      <w:r>
        <w:rPr>
          <w:rFonts w:hint="eastAsia" w:ascii="仿宋_GB2312" w:eastAsia="仿宋_GB2312"/>
          <w:bCs/>
          <w:color w:val="003366"/>
          <w:kern w:val="44"/>
          <w:sz w:val="30"/>
          <w:szCs w:val="30"/>
          <w:highlight w:val="none"/>
        </w:rPr>
        <w:t>　　</w:t>
      </w:r>
    </w:p>
    <w:p>
      <w:pPr>
        <w:jc w:val="center"/>
        <w:rPr>
          <w:rFonts w:ascii="方正小标宋简体" w:hAnsi="方正小标宋_GBK" w:eastAsia="方正小标宋简体"/>
          <w:b/>
          <w:sz w:val="30"/>
          <w:szCs w:val="30"/>
          <w:highlight w:val="none"/>
        </w:rPr>
      </w:pPr>
    </w:p>
    <w:p>
      <w:pPr>
        <w:pStyle w:val="17"/>
        <w:spacing w:line="360" w:lineRule="auto"/>
        <w:ind w:firstLine="0" w:firstLineChars="0"/>
        <w:jc w:val="center"/>
        <w:rPr>
          <w:rFonts w:hint="eastAsia" w:ascii="方正小标宋简体" w:hAnsi="方正小标宋_GBK" w:eastAsia="方正小标宋简体"/>
          <w:b/>
          <w:bCs/>
          <w:color w:val="auto"/>
          <w:kern w:val="44"/>
          <w:sz w:val="52"/>
          <w:szCs w:val="52"/>
          <w:highlight w:val="none"/>
        </w:rPr>
      </w:pPr>
      <w:r>
        <w:rPr>
          <w:rFonts w:hint="eastAsia" w:ascii="方正小标宋简体" w:hAnsi="方正小标宋_GBK" w:eastAsia="方正小标宋简体"/>
          <w:b/>
          <w:bCs/>
          <w:color w:val="auto"/>
          <w:kern w:val="44"/>
          <w:sz w:val="52"/>
          <w:szCs w:val="52"/>
          <w:highlight w:val="none"/>
        </w:rPr>
        <w:t>目视助航设备质量一致性复审</w:t>
      </w:r>
    </w:p>
    <w:p>
      <w:pPr>
        <w:pStyle w:val="17"/>
        <w:spacing w:line="360" w:lineRule="auto"/>
        <w:ind w:firstLine="0" w:firstLineChars="0"/>
        <w:jc w:val="center"/>
        <w:rPr>
          <w:rFonts w:hint="eastAsia" w:ascii="方正小标宋简体" w:hAnsi="方正小标宋_GBK" w:eastAsia="方正小标宋简体"/>
          <w:b/>
          <w:bCs/>
          <w:color w:val="auto"/>
          <w:kern w:val="44"/>
          <w:sz w:val="52"/>
          <w:szCs w:val="52"/>
          <w:highlight w:val="none"/>
        </w:rPr>
      </w:pPr>
      <w:r>
        <w:rPr>
          <w:rFonts w:hint="eastAsia" w:ascii="方正小标宋简体" w:hAnsi="方正小标宋_GBK" w:eastAsia="方正小标宋简体"/>
          <w:b/>
          <w:bCs/>
          <w:color w:val="auto"/>
          <w:kern w:val="44"/>
          <w:sz w:val="52"/>
          <w:szCs w:val="52"/>
          <w:highlight w:val="none"/>
          <w:lang w:val="en-US" w:eastAsia="zh-CN"/>
        </w:rPr>
        <w:t>检验</w:t>
      </w:r>
      <w:r>
        <w:rPr>
          <w:rFonts w:hint="eastAsia" w:ascii="方正小标宋简体" w:hAnsi="方正小标宋_GBK" w:eastAsia="方正小标宋简体"/>
          <w:b/>
          <w:bCs/>
          <w:color w:val="auto"/>
          <w:kern w:val="44"/>
          <w:sz w:val="52"/>
          <w:szCs w:val="52"/>
          <w:highlight w:val="none"/>
        </w:rPr>
        <w:t>实施细则</w:t>
      </w:r>
    </w:p>
    <w:p>
      <w:pPr>
        <w:jc w:val="center"/>
        <w:rPr>
          <w:rFonts w:hint="eastAsia" w:ascii="宋体" w:hAnsi="宋体" w:eastAsia="宋体"/>
          <w:b/>
          <w:sz w:val="30"/>
          <w:szCs w:val="30"/>
          <w:highlight w:val="none"/>
          <w:lang w:eastAsia="zh-CN"/>
        </w:rPr>
      </w:pPr>
      <w:r>
        <w:rPr>
          <w:rFonts w:hint="eastAsia" w:ascii="宋体" w:hAnsi="宋体"/>
          <w:b/>
          <w:sz w:val="30"/>
          <w:szCs w:val="30"/>
          <w:highlight w:val="none"/>
          <w:lang w:eastAsia="zh-CN"/>
        </w:rPr>
        <w:t>（</w:t>
      </w:r>
      <w:r>
        <w:rPr>
          <w:rFonts w:hint="eastAsia" w:ascii="宋体" w:hAnsi="宋体"/>
          <w:b/>
          <w:sz w:val="30"/>
          <w:szCs w:val="30"/>
          <w:highlight w:val="none"/>
          <w:lang w:val="en-US" w:eastAsia="zh-CN"/>
        </w:rPr>
        <w:t>征求意见稿</w:t>
      </w:r>
      <w:r>
        <w:rPr>
          <w:rFonts w:hint="eastAsia" w:ascii="宋体" w:hAnsi="宋体"/>
          <w:b/>
          <w:sz w:val="30"/>
          <w:szCs w:val="30"/>
          <w:highlight w:val="none"/>
          <w:lang w:eastAsia="zh-CN"/>
        </w:rPr>
        <w:t>）</w:t>
      </w:r>
    </w:p>
    <w:p>
      <w:pPr>
        <w:jc w:val="center"/>
        <w:rPr>
          <w:rFonts w:ascii="宋体" w:hAnsi="宋体"/>
          <w:b/>
          <w:sz w:val="30"/>
          <w:szCs w:val="30"/>
          <w:highlight w:val="none"/>
        </w:rPr>
      </w:pPr>
    </w:p>
    <w:p>
      <w:pPr>
        <w:jc w:val="center"/>
        <w:rPr>
          <w:rFonts w:ascii="宋体" w:hAnsi="宋体"/>
          <w:b/>
          <w:sz w:val="30"/>
          <w:szCs w:val="30"/>
          <w:highlight w:val="none"/>
        </w:rPr>
      </w:pPr>
    </w:p>
    <w:p>
      <w:pPr>
        <w:jc w:val="center"/>
        <w:rPr>
          <w:b/>
          <w:sz w:val="30"/>
          <w:szCs w:val="30"/>
          <w:highlight w:val="none"/>
        </w:rPr>
      </w:pPr>
    </w:p>
    <w:p>
      <w:pPr>
        <w:jc w:val="center"/>
        <w:rPr>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sectPr>
          <w:footerReference r:id="rId3" w:type="even"/>
          <w:pgSz w:w="11907" w:h="16840"/>
          <w:pgMar w:top="1888" w:right="1287" w:bottom="1440" w:left="1803" w:header="1134" w:footer="284" w:gutter="0"/>
          <w:pgNumType w:start="1"/>
          <w:cols w:space="720" w:num="1"/>
          <w:titlePg/>
          <w:docGrid w:type="linesAndChars" w:linePitch="434" w:charSpace="0"/>
        </w:sectPr>
      </w:pPr>
    </w:p>
    <w:p>
      <w:pPr>
        <w:spacing w:after="217" w:afterLines="50"/>
        <w:jc w:val="center"/>
        <w:rPr>
          <w:rFonts w:hint="eastAsia" w:ascii="黑体" w:hAnsi="黑体" w:eastAsia="黑体" w:cs="黑体"/>
          <w:b w:val="0"/>
          <w:bCs/>
          <w:sz w:val="36"/>
          <w:szCs w:val="36"/>
          <w:highlight w:val="none"/>
        </w:rPr>
      </w:pPr>
      <w:bookmarkStart w:id="0" w:name="_Toc106629558"/>
      <w:r>
        <w:rPr>
          <w:rFonts w:hint="eastAsia" w:ascii="黑体" w:hAnsi="黑体" w:eastAsia="黑体" w:cs="黑体"/>
          <w:b w:val="0"/>
          <w:bCs/>
          <w:sz w:val="36"/>
          <w:szCs w:val="36"/>
          <w:highlight w:val="none"/>
        </w:rPr>
        <w:t>前  言</w:t>
      </w:r>
    </w:p>
    <w:p>
      <w:pPr>
        <w:adjustRightInd w:val="0"/>
        <w:snapToGrid w:val="0"/>
        <w:spacing w:line="360" w:lineRule="auto"/>
        <w:ind w:firstLine="600" w:firstLineChars="200"/>
        <w:jc w:val="left"/>
        <w:rPr>
          <w:rFonts w:ascii="仿宋_GB2312" w:hAnsi="Times New Roman" w:eastAsia="仿宋_GB2312"/>
          <w:sz w:val="30"/>
          <w:szCs w:val="30"/>
          <w:highlight w:val="none"/>
        </w:rPr>
      </w:pPr>
      <w:r>
        <w:rPr>
          <w:rFonts w:hint="eastAsia" w:ascii="仿宋_GB2312" w:hAnsi="Times New Roman" w:eastAsia="仿宋_GB2312"/>
          <w:sz w:val="30"/>
          <w:szCs w:val="30"/>
          <w:highlight w:val="none"/>
        </w:rPr>
        <w:t>本细则依据《民用机场专用设备管理规定》、《民用机场专用设备检验办法(试行)》编制，对机场和直升机场目视助航设备质量一致性复审提供具体指导。</w:t>
      </w:r>
    </w:p>
    <w:p>
      <w:pPr>
        <w:adjustRightInd w:val="0"/>
        <w:snapToGrid w:val="0"/>
        <w:spacing w:line="360" w:lineRule="auto"/>
        <w:ind w:firstLine="600" w:firstLineChars="200"/>
        <w:jc w:val="left"/>
        <w:rPr>
          <w:rFonts w:ascii="仿宋_GB2312" w:hAnsi="Times New Roman" w:eastAsia="仿宋_GB2312"/>
          <w:sz w:val="30"/>
          <w:szCs w:val="30"/>
          <w:highlight w:val="none"/>
        </w:rPr>
      </w:pPr>
      <w:r>
        <w:rPr>
          <w:rFonts w:hint="eastAsia" w:ascii="仿宋_GB2312" w:hAnsi="Times New Roman" w:eastAsia="仿宋_GB2312"/>
          <w:sz w:val="30"/>
          <w:szCs w:val="30"/>
          <w:highlight w:val="none"/>
        </w:rPr>
        <w:t>本细则要求包括总则</w:t>
      </w:r>
      <w:r>
        <w:rPr>
          <w:rFonts w:hint="eastAsia" w:ascii="仿宋_GB2312" w:hAnsi="Times New Roman" w:eastAsia="仿宋_GB2312"/>
          <w:sz w:val="30"/>
          <w:szCs w:val="30"/>
          <w:highlight w:val="none"/>
          <w:lang w:eastAsia="zh-CN"/>
        </w:rPr>
        <w:t>，</w:t>
      </w:r>
      <w:r>
        <w:rPr>
          <w:rFonts w:hint="eastAsia" w:ascii="仿宋_GB2312" w:hAnsi="Times New Roman" w:eastAsia="仿宋_GB2312"/>
          <w:sz w:val="30"/>
          <w:szCs w:val="30"/>
          <w:highlight w:val="none"/>
        </w:rPr>
        <w:t>申请书审查</w:t>
      </w:r>
      <w:r>
        <w:rPr>
          <w:rFonts w:hint="eastAsia" w:ascii="仿宋_GB2312" w:hAnsi="Times New Roman" w:eastAsia="仿宋_GB2312"/>
          <w:sz w:val="30"/>
          <w:szCs w:val="30"/>
          <w:highlight w:val="none"/>
          <w:lang w:eastAsia="zh-CN"/>
        </w:rPr>
        <w:t>，</w:t>
      </w:r>
      <w:r>
        <w:rPr>
          <w:rFonts w:hint="eastAsia" w:ascii="仿宋_GB2312" w:hAnsi="Times New Roman" w:eastAsia="仿宋_GB2312"/>
          <w:sz w:val="30"/>
          <w:szCs w:val="30"/>
          <w:highlight w:val="none"/>
        </w:rPr>
        <w:t>专业技术人员查验</w:t>
      </w:r>
      <w:r>
        <w:rPr>
          <w:rFonts w:hint="eastAsia" w:ascii="仿宋_GB2312" w:hAnsi="Times New Roman" w:eastAsia="仿宋_GB2312"/>
          <w:sz w:val="30"/>
          <w:szCs w:val="30"/>
          <w:highlight w:val="none"/>
          <w:lang w:eastAsia="zh-CN"/>
        </w:rPr>
        <w:t>，</w:t>
      </w:r>
      <w:r>
        <w:rPr>
          <w:rFonts w:hint="eastAsia" w:ascii="仿宋_GB2312" w:hAnsi="Times New Roman" w:eastAsia="仿宋_GB2312"/>
          <w:sz w:val="30"/>
          <w:szCs w:val="30"/>
          <w:highlight w:val="none"/>
        </w:rPr>
        <w:t>设备、设施、工作场所查验</w:t>
      </w:r>
      <w:r>
        <w:rPr>
          <w:rFonts w:hint="eastAsia" w:ascii="仿宋_GB2312" w:hAnsi="Times New Roman" w:eastAsia="仿宋_GB2312"/>
          <w:sz w:val="30"/>
          <w:szCs w:val="30"/>
          <w:highlight w:val="none"/>
          <w:lang w:eastAsia="zh-CN"/>
        </w:rPr>
        <w:t>，</w:t>
      </w:r>
      <w:r>
        <w:rPr>
          <w:rFonts w:hint="eastAsia" w:ascii="仿宋_GB2312" w:hAnsi="Times New Roman" w:eastAsia="仿宋_GB2312"/>
          <w:sz w:val="30"/>
          <w:szCs w:val="30"/>
          <w:highlight w:val="none"/>
        </w:rPr>
        <w:t>制度体系评估</w:t>
      </w:r>
      <w:r>
        <w:rPr>
          <w:rFonts w:hint="eastAsia" w:ascii="仿宋_GB2312" w:hAnsi="Times New Roman" w:eastAsia="仿宋_GB2312"/>
          <w:sz w:val="30"/>
          <w:szCs w:val="30"/>
          <w:highlight w:val="none"/>
          <w:lang w:eastAsia="zh-CN"/>
        </w:rPr>
        <w:t>，</w:t>
      </w:r>
      <w:r>
        <w:rPr>
          <w:rFonts w:hint="eastAsia" w:ascii="仿宋_GB2312" w:hAnsi="Times New Roman" w:eastAsia="仿宋_GB2312"/>
          <w:sz w:val="30"/>
          <w:szCs w:val="30"/>
          <w:highlight w:val="none"/>
          <w:lang w:val="en-US" w:eastAsia="zh-CN"/>
        </w:rPr>
        <w:t>设备抽样检测，</w:t>
      </w:r>
      <w:r>
        <w:rPr>
          <w:rFonts w:hint="eastAsia" w:ascii="仿宋_GB2312" w:hAnsi="Times New Roman" w:eastAsia="仿宋_GB2312"/>
          <w:sz w:val="30"/>
          <w:szCs w:val="30"/>
          <w:highlight w:val="none"/>
        </w:rPr>
        <w:t>结论判定，共七章。</w:t>
      </w:r>
    </w:p>
    <w:p>
      <w:pPr>
        <w:adjustRightInd w:val="0"/>
        <w:snapToGrid w:val="0"/>
        <w:spacing w:line="360" w:lineRule="auto"/>
        <w:jc w:val="left"/>
        <w:rPr>
          <w:rFonts w:ascii="仿宋_GB2312" w:hAnsi="Times New Roman" w:eastAsia="仿宋_GB2312"/>
          <w:sz w:val="30"/>
          <w:szCs w:val="30"/>
          <w:highlight w:val="none"/>
        </w:rPr>
      </w:pPr>
      <w:r>
        <w:rPr>
          <w:rFonts w:hint="eastAsia" w:ascii="仿宋_GB2312" w:hAnsi="Times New Roman" w:eastAsia="仿宋_GB2312"/>
          <w:sz w:val="30"/>
          <w:szCs w:val="30"/>
          <w:highlight w:val="none"/>
        </w:rPr>
        <w:t>　　本细则在执行过程中如有意见和建议，请函告日常管理组（联系人：    ；地址：  ；联系电话： ；传真： ；邮编： ；电子邮箱： ）。</w:t>
      </w:r>
    </w:p>
    <w:p>
      <w:pPr>
        <w:adjustRightInd w:val="0"/>
        <w:snapToGrid w:val="0"/>
        <w:spacing w:line="360" w:lineRule="auto"/>
        <w:jc w:val="left"/>
        <w:rPr>
          <w:rFonts w:ascii="仿宋_GB2312" w:hAnsi="Times New Roman" w:eastAsia="仿宋_GB2312"/>
          <w:sz w:val="30"/>
          <w:szCs w:val="30"/>
          <w:highlight w:val="none"/>
        </w:rPr>
      </w:pPr>
      <w:r>
        <w:rPr>
          <w:rFonts w:hint="eastAsia" w:ascii="仿宋_GB2312" w:hAnsi="Times New Roman" w:eastAsia="仿宋_GB2312"/>
          <w:sz w:val="30"/>
          <w:szCs w:val="30"/>
          <w:highlight w:val="none"/>
        </w:rPr>
        <w:t>　　本细则起草单位： 。</w:t>
      </w:r>
    </w:p>
    <w:p>
      <w:pPr>
        <w:adjustRightInd w:val="0"/>
        <w:snapToGrid w:val="0"/>
        <w:spacing w:line="360" w:lineRule="auto"/>
        <w:jc w:val="left"/>
        <w:rPr>
          <w:rFonts w:ascii="仿宋_GB2312" w:hAnsi="Times New Roman" w:eastAsia="仿宋_GB2312"/>
          <w:sz w:val="30"/>
          <w:szCs w:val="30"/>
          <w:highlight w:val="none"/>
        </w:rPr>
      </w:pPr>
      <w:r>
        <w:rPr>
          <w:rFonts w:hint="eastAsia" w:ascii="仿宋_GB2312" w:hAnsi="Times New Roman" w:eastAsia="仿宋_GB2312"/>
          <w:sz w:val="30"/>
          <w:szCs w:val="30"/>
          <w:highlight w:val="none"/>
        </w:rPr>
        <w:t>　　</w:t>
      </w:r>
      <w:r>
        <w:rPr>
          <w:rFonts w:hint="eastAsia" w:ascii="仿宋_GB2312" w:eastAsia="仿宋_GB2312"/>
          <w:sz w:val="30"/>
          <w:szCs w:val="30"/>
          <w:highlight w:val="none"/>
        </w:rPr>
        <w:t>本细则</w:t>
      </w:r>
      <w:r>
        <w:rPr>
          <w:rFonts w:hint="eastAsia" w:ascii="仿宋_GB2312" w:hAnsi="Times New Roman" w:eastAsia="仿宋_GB2312"/>
          <w:sz w:val="30"/>
          <w:szCs w:val="30"/>
          <w:highlight w:val="none"/>
        </w:rPr>
        <w:t>主要起草人： 。</w:t>
      </w:r>
    </w:p>
    <w:p>
      <w:pPr>
        <w:adjustRightInd w:val="0"/>
        <w:snapToGrid w:val="0"/>
        <w:spacing w:line="360" w:lineRule="auto"/>
        <w:ind w:firstLine="600" w:firstLineChars="200"/>
        <w:jc w:val="left"/>
        <w:rPr>
          <w:rFonts w:ascii="仿宋_GB2312" w:hAnsi="Times New Roman" w:eastAsia="仿宋_GB2312"/>
          <w:sz w:val="30"/>
          <w:szCs w:val="30"/>
          <w:highlight w:val="none"/>
        </w:rPr>
      </w:pPr>
      <w:r>
        <w:rPr>
          <w:rFonts w:hint="eastAsia" w:ascii="仿宋_GB2312" w:eastAsia="仿宋_GB2312"/>
          <w:sz w:val="30"/>
          <w:szCs w:val="30"/>
          <w:highlight w:val="none"/>
        </w:rPr>
        <w:t>本细则</w:t>
      </w:r>
      <w:r>
        <w:rPr>
          <w:rFonts w:hint="eastAsia" w:ascii="仿宋_GB2312" w:hAnsi="Times New Roman" w:eastAsia="仿宋_GB2312"/>
          <w:sz w:val="30"/>
          <w:szCs w:val="30"/>
          <w:highlight w:val="none"/>
        </w:rPr>
        <w:t>主要审核人： 。</w:t>
      </w:r>
    </w:p>
    <w:p>
      <w:pPr>
        <w:widowControl/>
        <w:jc w:val="left"/>
        <w:rPr>
          <w:rFonts w:ascii="仿宋_GB2312" w:hAnsi="Times New Roman" w:eastAsia="仿宋_GB2312"/>
          <w:sz w:val="30"/>
          <w:szCs w:val="30"/>
          <w:highlight w:val="none"/>
        </w:rPr>
      </w:pPr>
      <w:r>
        <w:rPr>
          <w:rFonts w:ascii="仿宋_GB2312" w:hAnsi="Times New Roman" w:eastAsia="仿宋_GB2312"/>
          <w:sz w:val="30"/>
          <w:szCs w:val="30"/>
          <w:highlight w:val="none"/>
        </w:rPr>
        <w:br w:type="page"/>
      </w:r>
    </w:p>
    <w:p>
      <w:pPr>
        <w:pStyle w:val="19"/>
        <w:spacing w:before="434" w:beforeLines="100" w:after="434" w:afterLines="100" w:line="400" w:lineRule="exact"/>
        <w:ind w:left="0" w:leftChars="0" w:firstLine="0" w:firstLineChars="0"/>
        <w:jc w:val="center"/>
        <w:outlineLvl w:val="0"/>
        <w:rPr>
          <w:rFonts w:hint="default" w:ascii="黑体" w:hAnsi="黑体" w:eastAsia="黑体"/>
          <w:sz w:val="36"/>
          <w:szCs w:val="36"/>
          <w:highlight w:val="none"/>
          <w:lang w:val="en-US" w:eastAsia="zh-CN"/>
        </w:rPr>
      </w:pPr>
      <w:r>
        <w:rPr>
          <w:rFonts w:hint="eastAsia" w:ascii="黑体" w:hAnsi="黑体" w:eastAsia="黑体"/>
          <w:sz w:val="36"/>
          <w:szCs w:val="36"/>
          <w:highlight w:val="none"/>
          <w:lang w:val="en-US" w:eastAsia="zh-CN"/>
        </w:rPr>
        <w:t>目视助航设备质量一致性复审检验实施细则</w:t>
      </w:r>
    </w:p>
    <w:p>
      <w:pPr>
        <w:pStyle w:val="19"/>
        <w:spacing w:before="0" w:beforeLines="0" w:after="0" w:afterLines="0" w:line="360" w:lineRule="auto"/>
        <w:ind w:left="0" w:leftChars="0" w:firstLine="0" w:firstLineChars="0"/>
        <w:jc w:val="center"/>
        <w:outlineLvl w:val="0"/>
        <w:rPr>
          <w:rFonts w:ascii="黑体" w:hAnsi="黑体" w:eastAsia="黑体"/>
          <w:sz w:val="32"/>
          <w:szCs w:val="32"/>
          <w:highlight w:val="none"/>
        </w:rPr>
      </w:pPr>
      <w:r>
        <w:rPr>
          <w:rFonts w:hint="eastAsia" w:ascii="黑体" w:hAnsi="黑体" w:eastAsia="黑体"/>
          <w:sz w:val="32"/>
          <w:szCs w:val="32"/>
          <w:highlight w:val="none"/>
        </w:rPr>
        <w:t>第一章  总  则</w:t>
      </w:r>
      <w:bookmarkEnd w:id="0"/>
    </w:p>
    <w:p>
      <w:pPr>
        <w:spacing w:line="360" w:lineRule="auto"/>
        <w:ind w:firstLine="600" w:firstLineChars="200"/>
        <w:jc w:val="both"/>
        <w:rPr>
          <w:rFonts w:hint="eastAsia" w:ascii="仿宋_GB2312" w:hAnsi="仿宋_GB2312" w:eastAsia="仿宋_GB2312" w:cs="仿宋_GB2312"/>
          <w:bCs/>
          <w:sz w:val="30"/>
          <w:szCs w:val="30"/>
          <w:highlight w:val="none"/>
        </w:rPr>
      </w:pPr>
      <w:r>
        <w:rPr>
          <w:rFonts w:hint="eastAsia" w:ascii="黑体" w:hAnsi="黑体" w:eastAsia="黑体" w:cs="黑体"/>
          <w:b w:val="0"/>
          <w:bCs/>
          <w:sz w:val="30"/>
          <w:szCs w:val="30"/>
          <w:highlight w:val="none"/>
        </w:rPr>
        <w:t>第一条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总体要求</w:t>
      </w:r>
      <w:r>
        <w:rPr>
          <w:rFonts w:hint="eastAsia" w:ascii="黑体" w:hAnsi="黑体" w:eastAsia="黑体" w:cs="黑体"/>
          <w:b w:val="0"/>
          <w:bCs/>
          <w:sz w:val="30"/>
          <w:szCs w:val="30"/>
          <w:highlight w:val="none"/>
          <w:lang w:eastAsia="zh-CN"/>
        </w:rPr>
        <w:t>】</w:t>
      </w:r>
      <w:r>
        <w:rPr>
          <w:rFonts w:hint="eastAsia" w:ascii="仿宋_GB2312" w:hAnsi="仿宋_GB2312" w:eastAsia="仿宋_GB2312" w:cs="仿宋_GB2312"/>
          <w:bCs/>
          <w:sz w:val="30"/>
          <w:szCs w:val="30"/>
          <w:highlight w:val="none"/>
        </w:rPr>
        <w:t>为进一步规范</w:t>
      </w:r>
      <w:r>
        <w:rPr>
          <w:rFonts w:hint="eastAsia" w:ascii="仿宋_GB2312" w:hAnsi="Times New Roman" w:eastAsia="仿宋_GB2312"/>
          <w:sz w:val="30"/>
          <w:szCs w:val="30"/>
          <w:highlight w:val="none"/>
        </w:rPr>
        <w:t>机场和直升机场目视助航设备</w:t>
      </w:r>
      <w:r>
        <w:rPr>
          <w:rFonts w:hint="eastAsia" w:ascii="仿宋_GB2312" w:hAnsi="仿宋_GB2312" w:eastAsia="仿宋_GB2312" w:cs="仿宋_GB2312"/>
          <w:bCs/>
          <w:sz w:val="30"/>
          <w:szCs w:val="30"/>
          <w:highlight w:val="none"/>
        </w:rPr>
        <w:t>质量一致性复审工作、明确质量一致性复审</w:t>
      </w:r>
      <w:r>
        <w:rPr>
          <w:rFonts w:hint="eastAsia" w:ascii="仿宋_GB2312" w:hAnsi="仿宋_GB2312" w:eastAsia="仿宋_GB2312" w:cs="仿宋_GB2312"/>
          <w:bCs/>
          <w:sz w:val="30"/>
          <w:szCs w:val="30"/>
          <w:highlight w:val="none"/>
          <w:lang w:val="en-US" w:eastAsia="zh-CN"/>
        </w:rPr>
        <w:t>检验</w:t>
      </w:r>
      <w:r>
        <w:rPr>
          <w:rFonts w:hint="eastAsia" w:ascii="仿宋_GB2312" w:hAnsi="仿宋_GB2312" w:eastAsia="仿宋_GB2312" w:cs="仿宋_GB2312"/>
          <w:bCs/>
          <w:sz w:val="30"/>
          <w:szCs w:val="30"/>
          <w:highlight w:val="none"/>
        </w:rPr>
        <w:t>具体要求，</w:t>
      </w:r>
      <w:r>
        <w:rPr>
          <w:rFonts w:hint="eastAsia" w:ascii="仿宋_GB2312" w:hAnsi="仿宋_GB2312" w:eastAsia="仿宋_GB2312" w:cs="仿宋_GB2312"/>
          <w:bCs/>
          <w:sz w:val="30"/>
          <w:szCs w:val="30"/>
          <w:highlight w:val="none"/>
          <w:lang w:val="en-US" w:eastAsia="zh-CN"/>
        </w:rPr>
        <w:t>提升</w:t>
      </w:r>
      <w:r>
        <w:rPr>
          <w:rFonts w:hint="eastAsia" w:ascii="仿宋_GB2312" w:hAnsi="Times New Roman" w:eastAsia="仿宋_GB2312"/>
          <w:sz w:val="30"/>
          <w:szCs w:val="30"/>
          <w:highlight w:val="none"/>
        </w:rPr>
        <w:t>机场和直升机场目视助航设备</w:t>
      </w:r>
      <w:r>
        <w:rPr>
          <w:rFonts w:hint="eastAsia" w:ascii="仿宋_GB2312" w:hAnsi="仿宋_GB2312" w:eastAsia="仿宋_GB2312" w:cs="仿宋_GB2312"/>
          <w:bCs/>
          <w:sz w:val="30"/>
          <w:szCs w:val="30"/>
          <w:highlight w:val="none"/>
        </w:rPr>
        <w:t>产品质量，</w:t>
      </w:r>
      <w:r>
        <w:rPr>
          <w:rFonts w:hint="eastAsia" w:ascii="仿宋_GB2312" w:hAnsi="仿宋_GB2312" w:eastAsia="仿宋_GB2312" w:cs="仿宋_GB2312"/>
          <w:bCs/>
          <w:sz w:val="30"/>
          <w:szCs w:val="30"/>
          <w:highlight w:val="none"/>
          <w:lang w:val="en-US" w:eastAsia="zh-CN"/>
        </w:rPr>
        <w:t>根据</w:t>
      </w:r>
      <w:r>
        <w:rPr>
          <w:rFonts w:hint="eastAsia" w:ascii="仿宋_GB2312" w:hAnsi="仿宋_GB2312" w:eastAsia="仿宋_GB2312" w:cs="仿宋_GB2312"/>
          <w:bCs/>
          <w:sz w:val="30"/>
          <w:szCs w:val="30"/>
          <w:highlight w:val="none"/>
        </w:rPr>
        <w:t>《民用机场专用设备管理规定》、《民用机场专用设备检验办法(试行)》制定本细则。</w:t>
      </w:r>
    </w:p>
    <w:p>
      <w:pPr>
        <w:pStyle w:val="19"/>
        <w:spacing w:before="0" w:beforeLines="0" w:after="0" w:afterLines="0" w:line="360" w:lineRule="auto"/>
        <w:ind w:left="0" w:firstLine="0" w:firstLineChars="0"/>
        <w:jc w:val="center"/>
        <w:outlineLvl w:val="0"/>
        <w:rPr>
          <w:rFonts w:ascii="黑体" w:hAnsi="黑体" w:eastAsia="黑体"/>
          <w:sz w:val="32"/>
          <w:szCs w:val="32"/>
          <w:highlight w:val="none"/>
        </w:rPr>
      </w:pPr>
      <w:bookmarkStart w:id="1" w:name="_Toc106629559"/>
      <w:r>
        <w:rPr>
          <w:rFonts w:hint="eastAsia" w:ascii="黑体" w:hAnsi="黑体" w:eastAsia="黑体"/>
          <w:sz w:val="32"/>
          <w:szCs w:val="32"/>
          <w:highlight w:val="none"/>
        </w:rPr>
        <w:t>第二章  申请书审查</w:t>
      </w:r>
      <w:bookmarkEnd w:id="1"/>
    </w:p>
    <w:p>
      <w:pPr>
        <w:numPr>
          <w:ilvl w:val="0"/>
          <w:numId w:val="0"/>
        </w:numPr>
        <w:autoSpaceDE/>
        <w:autoSpaceDN/>
        <w:adjustRightInd/>
        <w:snapToGrid/>
        <w:spacing w:line="360" w:lineRule="auto"/>
        <w:ind w:firstLine="600" w:firstLineChars="200"/>
        <w:jc w:val="both"/>
        <w:outlineLvl w:val="1"/>
        <w:rPr>
          <w:rFonts w:hint="eastAsia" w:ascii="黑体" w:hAnsi="黑体" w:eastAsia="黑体" w:cs="黑体"/>
          <w:b w:val="0"/>
          <w:bCs/>
          <w:sz w:val="30"/>
          <w:szCs w:val="30"/>
          <w:highlight w:val="none"/>
          <w:lang w:val="en-US" w:eastAsia="zh-CN"/>
        </w:rPr>
      </w:pPr>
      <w:bookmarkStart w:id="2" w:name="_Toc106629560"/>
      <w:r>
        <w:rPr>
          <w:rFonts w:hint="eastAsia" w:ascii="黑体" w:hAnsi="黑体" w:eastAsia="黑体" w:cs="黑体"/>
          <w:sz w:val="30"/>
          <w:szCs w:val="30"/>
        </w:rPr>
        <w:t>第二条</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复审受理</w:t>
      </w:r>
      <w:r>
        <w:rPr>
          <w:rFonts w:hint="eastAsia" w:ascii="黑体" w:hAnsi="黑体" w:eastAsia="黑体" w:cs="黑体"/>
          <w:sz w:val="30"/>
          <w:szCs w:val="30"/>
          <w:lang w:eastAsia="zh-CN"/>
        </w:rPr>
        <w:t>】</w:t>
      </w:r>
      <w:r>
        <w:rPr>
          <w:rFonts w:hint="eastAsia" w:ascii="仿宋_GB2312" w:hAnsi="Times New Roman" w:eastAsia="仿宋_GB2312" w:cs="Times New Roman"/>
          <w:b w:val="0"/>
          <w:bCs w:val="0"/>
          <w:color w:val="auto"/>
          <w:sz w:val="30"/>
          <w:szCs w:val="30"/>
          <w:highlight w:val="none"/>
          <w:lang w:val="en-US" w:eastAsia="zh-CN"/>
        </w:rPr>
        <w:t>目视助航设备</w:t>
      </w:r>
      <w:r>
        <w:rPr>
          <w:rFonts w:hint="eastAsia" w:ascii="仿宋_GB2312" w:eastAsia="仿宋_GB2312"/>
          <w:sz w:val="30"/>
          <w:szCs w:val="30"/>
        </w:rPr>
        <w:t>制造商</w:t>
      </w:r>
      <w:r>
        <w:rPr>
          <w:rFonts w:hint="eastAsia" w:ascii="仿宋_GB2312" w:eastAsia="仿宋_GB2312"/>
          <w:sz w:val="30"/>
          <w:szCs w:val="30"/>
          <w:lang w:val="en-US" w:eastAsia="zh-CN"/>
        </w:rPr>
        <w:t>应当在具备抽样检测条件，相应资料齐全，且未处于“民用机场专用设备信息管理系统”违法失信行为公示期内的情况下，向检验机构提交质量一致性复审申请。</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三</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复核基本信息</w:t>
      </w:r>
      <w:r>
        <w:rPr>
          <w:rFonts w:hint="eastAsia" w:ascii="黑体" w:hAnsi="黑体" w:eastAsia="黑体" w:cs="黑体"/>
          <w:b w:val="0"/>
          <w:bCs/>
          <w:sz w:val="30"/>
          <w:szCs w:val="30"/>
          <w:highlight w:val="none"/>
          <w:lang w:eastAsia="zh-CN"/>
        </w:rPr>
        <w:t>】</w:t>
      </w:r>
      <w:r>
        <w:rPr>
          <w:rFonts w:hint="eastAsia" w:ascii="仿宋_GB2312" w:hAnsi="Times New Roman" w:eastAsia="仿宋_GB2312" w:cs="Times New Roman"/>
          <w:sz w:val="30"/>
          <w:szCs w:val="30"/>
          <w:lang w:val="en-US" w:eastAsia="zh-CN"/>
        </w:rPr>
        <w:t>检验机构应当</w:t>
      </w:r>
      <w:r>
        <w:rPr>
          <w:rFonts w:hint="eastAsia" w:ascii="仿宋_GB2312" w:eastAsia="仿宋_GB2312"/>
          <w:sz w:val="30"/>
          <w:szCs w:val="30"/>
          <w:lang w:val="en-US" w:eastAsia="zh-CN"/>
        </w:rPr>
        <w:t>对</w:t>
      </w:r>
      <w:r>
        <w:rPr>
          <w:rFonts w:hint="eastAsia" w:ascii="仿宋_GB2312" w:eastAsia="仿宋_GB2312"/>
          <w:sz w:val="30"/>
          <w:szCs w:val="30"/>
        </w:rPr>
        <w:t>制造商</w:t>
      </w:r>
      <w:r>
        <w:rPr>
          <w:rFonts w:hint="eastAsia" w:ascii="仿宋_GB2312" w:eastAsia="仿宋_GB2312"/>
          <w:sz w:val="30"/>
          <w:szCs w:val="30"/>
          <w:lang w:val="en-US" w:eastAsia="zh-CN"/>
        </w:rPr>
        <w:t>提供的</w:t>
      </w:r>
      <w:r>
        <w:rPr>
          <w:rFonts w:hint="eastAsia" w:ascii="仿宋_GB2312" w:eastAsia="仿宋_GB2312"/>
          <w:sz w:val="30"/>
          <w:szCs w:val="30"/>
        </w:rPr>
        <w:t>营业执照</w:t>
      </w:r>
      <w:r>
        <w:rPr>
          <w:rFonts w:hint="eastAsia" w:ascii="仿宋_GB2312" w:eastAsia="仿宋_GB2312"/>
          <w:sz w:val="30"/>
          <w:szCs w:val="30"/>
          <w:lang w:val="en-US" w:eastAsia="zh-CN"/>
        </w:rPr>
        <w:t>和</w:t>
      </w:r>
      <w:r>
        <w:rPr>
          <w:rFonts w:hint="eastAsia" w:ascii="仿宋_GB2312" w:eastAsia="仿宋_GB2312"/>
          <w:sz w:val="30"/>
          <w:szCs w:val="30"/>
        </w:rPr>
        <w:t>开户许可</w:t>
      </w:r>
      <w:r>
        <w:rPr>
          <w:rFonts w:hint="eastAsia" w:ascii="仿宋_GB2312" w:eastAsia="仿宋_GB2312"/>
          <w:sz w:val="30"/>
          <w:szCs w:val="30"/>
          <w:lang w:val="en-US" w:eastAsia="zh-CN"/>
        </w:rPr>
        <w:t>证等文件原件进行审查，复印件应当加盖公章后留存</w:t>
      </w:r>
      <w:r>
        <w:rPr>
          <w:rFonts w:hint="eastAsia" w:ascii="仿宋_GB2312" w:eastAsia="仿宋_GB2312"/>
          <w:sz w:val="30"/>
          <w:szCs w:val="30"/>
        </w:rPr>
        <w:t>。</w:t>
      </w:r>
    </w:p>
    <w:p>
      <w:pPr>
        <w:numPr>
          <w:ilvl w:val="0"/>
          <w:numId w:val="0"/>
        </w:numPr>
        <w:autoSpaceDE/>
        <w:autoSpaceDN/>
        <w:adjustRightInd/>
        <w:snapToGrid/>
        <w:spacing w:line="360" w:lineRule="auto"/>
        <w:ind w:firstLine="600" w:firstLineChars="200"/>
        <w:jc w:val="both"/>
        <w:outlineLvl w:val="1"/>
        <w:rPr>
          <w:rFonts w:hint="eastAsia" w:ascii="黑体" w:hAnsi="黑体" w:eastAsia="黑体" w:cs="黑体"/>
          <w:b w:val="0"/>
          <w:bCs/>
          <w:sz w:val="30"/>
          <w:szCs w:val="30"/>
          <w:highlight w:val="none"/>
          <w:lang w:val="en-US" w:eastAsia="zh-CN"/>
        </w:rPr>
      </w:pPr>
      <w:r>
        <w:rPr>
          <w:rFonts w:hint="eastAsia" w:ascii="黑体" w:hAnsi="黑体" w:eastAsia="黑体" w:cs="黑体"/>
          <w:sz w:val="30"/>
          <w:szCs w:val="30"/>
        </w:rPr>
        <w:t>第</w:t>
      </w:r>
      <w:r>
        <w:rPr>
          <w:rFonts w:hint="eastAsia" w:ascii="黑体" w:hAnsi="黑体" w:eastAsia="黑体" w:cs="黑体"/>
          <w:sz w:val="30"/>
          <w:szCs w:val="30"/>
          <w:lang w:val="en-US" w:eastAsia="zh-CN"/>
        </w:rPr>
        <w:t>四</w:t>
      </w:r>
      <w:r>
        <w:rPr>
          <w:rFonts w:hint="eastAsia" w:ascii="黑体" w:hAnsi="黑体" w:eastAsia="黑体" w:cs="黑体"/>
          <w:sz w:val="30"/>
          <w:szCs w:val="30"/>
        </w:rPr>
        <w:t>条</w:t>
      </w:r>
      <w:r>
        <w:rPr>
          <w:rFonts w:hint="eastAsia" w:ascii="黑体" w:hAnsi="黑体" w:eastAsia="黑体" w:cs="黑体"/>
          <w:sz w:val="30"/>
          <w:szCs w:val="30"/>
          <w:lang w:eastAsia="zh-CN"/>
        </w:rPr>
        <w:t>【</w:t>
      </w:r>
      <w:r>
        <w:rPr>
          <w:rFonts w:hint="eastAsia" w:eastAsia="黑体"/>
          <w:bCs/>
          <w:sz w:val="30"/>
          <w:szCs w:val="30"/>
        </w:rPr>
        <w:t>复核无侵权行为</w:t>
      </w:r>
      <w:r>
        <w:rPr>
          <w:rFonts w:hint="eastAsia" w:ascii="黑体" w:hAnsi="黑体" w:eastAsia="黑体" w:cs="黑体"/>
          <w:sz w:val="30"/>
          <w:szCs w:val="30"/>
        </w:rPr>
        <w:t>证明材料</w:t>
      </w:r>
      <w:r>
        <w:rPr>
          <w:rFonts w:hint="eastAsia" w:ascii="黑体" w:hAnsi="黑体" w:eastAsia="黑体" w:cs="黑体"/>
          <w:sz w:val="30"/>
          <w:szCs w:val="30"/>
          <w:lang w:eastAsia="zh-CN"/>
        </w:rPr>
        <w:t>】</w:t>
      </w:r>
      <w:r>
        <w:rPr>
          <w:rFonts w:hint="eastAsia" w:ascii="仿宋_GB2312" w:hAnsi="Times New Roman" w:eastAsia="仿宋_GB2312" w:cs="Times New Roman"/>
          <w:sz w:val="30"/>
          <w:szCs w:val="30"/>
          <w:lang w:val="en-US" w:eastAsia="zh-CN"/>
        </w:rPr>
        <w:t>检验机构应当</w:t>
      </w:r>
      <w:r>
        <w:rPr>
          <w:rFonts w:hint="eastAsia" w:ascii="仿宋_GB2312" w:eastAsia="仿宋_GB2312"/>
          <w:sz w:val="30"/>
          <w:szCs w:val="30"/>
          <w:lang w:val="en-US" w:eastAsia="zh-CN"/>
        </w:rPr>
        <w:t>对</w:t>
      </w:r>
      <w:r>
        <w:rPr>
          <w:rFonts w:hint="eastAsia" w:ascii="仿宋_GB2312" w:eastAsia="仿宋_GB2312"/>
          <w:sz w:val="30"/>
          <w:szCs w:val="30"/>
        </w:rPr>
        <w:t>制造商提供的</w:t>
      </w:r>
      <w:r>
        <w:rPr>
          <w:rFonts w:hint="eastAsia" w:ascii="仿宋_GB2312" w:eastAsia="仿宋_GB2312"/>
          <w:sz w:val="30"/>
          <w:szCs w:val="30"/>
          <w:lang w:eastAsia="zh-CN"/>
        </w:rPr>
        <w:t>设备</w:t>
      </w:r>
      <w:r>
        <w:rPr>
          <w:rFonts w:hint="eastAsia" w:ascii="仿宋_GB2312" w:eastAsia="仿宋_GB2312"/>
          <w:sz w:val="30"/>
          <w:szCs w:val="30"/>
        </w:rPr>
        <w:t>无侵权行为</w:t>
      </w:r>
      <w:r>
        <w:rPr>
          <w:rFonts w:hint="eastAsia" w:ascii="仿宋_GB2312" w:eastAsia="仿宋_GB2312"/>
          <w:sz w:val="30"/>
          <w:szCs w:val="30"/>
          <w:lang w:val="en-US" w:eastAsia="zh-CN"/>
        </w:rPr>
        <w:t>承诺书</w:t>
      </w:r>
      <w:r>
        <w:rPr>
          <w:rFonts w:hint="eastAsia" w:ascii="仿宋_GB2312" w:eastAsia="仿宋_GB2312"/>
          <w:sz w:val="30"/>
          <w:szCs w:val="30"/>
        </w:rPr>
        <w:t>以及生产与技术运用方面无违法行为的</w:t>
      </w:r>
      <w:r>
        <w:rPr>
          <w:rFonts w:hint="eastAsia" w:ascii="仿宋_GB2312" w:eastAsia="仿宋_GB2312"/>
          <w:sz w:val="30"/>
          <w:szCs w:val="30"/>
          <w:lang w:val="en-US" w:eastAsia="zh-CN"/>
        </w:rPr>
        <w:t>承诺书进行审查，具有专利的制造商应当提供</w:t>
      </w:r>
      <w:r>
        <w:rPr>
          <w:rFonts w:hint="eastAsia" w:ascii="仿宋_GB2312" w:eastAsia="仿宋_GB2312"/>
          <w:sz w:val="30"/>
          <w:szCs w:val="30"/>
        </w:rPr>
        <w:t>所获专利清单及其证明。</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s="Times New Roman"/>
          <w:b w:val="0"/>
          <w:bCs w:val="0"/>
          <w:color w:val="auto"/>
          <w:sz w:val="30"/>
          <w:szCs w:val="30"/>
          <w:highlight w:val="none"/>
          <w:lang w:val="en-US" w:eastAsia="zh-CN"/>
        </w:rPr>
      </w:pPr>
      <w:r>
        <w:rPr>
          <w:rFonts w:hint="eastAsia" w:ascii="黑体" w:hAnsi="黑体" w:eastAsia="黑体" w:cs="黑体"/>
          <w:b w:val="0"/>
          <w:bCs/>
          <w:sz w:val="30"/>
          <w:szCs w:val="30"/>
          <w:highlight w:val="none"/>
          <w:lang w:val="en-US" w:eastAsia="zh-CN"/>
        </w:rPr>
        <w:t>第五条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复核已获通告清单</w:t>
      </w:r>
      <w:r>
        <w:rPr>
          <w:rFonts w:hint="eastAsia" w:ascii="黑体" w:hAnsi="黑体" w:eastAsia="黑体" w:cs="黑体"/>
          <w:b w:val="0"/>
          <w:bCs/>
          <w:sz w:val="30"/>
          <w:szCs w:val="30"/>
          <w:highlight w:val="none"/>
          <w:lang w:eastAsia="zh-CN"/>
        </w:rPr>
        <w:t>】</w:t>
      </w:r>
      <w:r>
        <w:rPr>
          <w:rFonts w:hint="eastAsia" w:ascii="仿宋_GB2312" w:hAnsi="Times New Roman" w:eastAsia="仿宋_GB2312" w:cs="Times New Roman"/>
          <w:sz w:val="30"/>
          <w:szCs w:val="30"/>
          <w:lang w:val="en-US" w:eastAsia="zh-CN"/>
        </w:rPr>
        <w:t>检验机构应当</w:t>
      </w:r>
      <w:r>
        <w:rPr>
          <w:rFonts w:hint="eastAsia" w:ascii="仿宋_GB2312" w:eastAsia="仿宋_GB2312"/>
          <w:sz w:val="30"/>
          <w:szCs w:val="30"/>
          <w:lang w:val="en-US" w:eastAsia="zh-CN"/>
        </w:rPr>
        <w:t>对</w:t>
      </w:r>
      <w:r>
        <w:rPr>
          <w:rFonts w:hint="eastAsia" w:ascii="仿宋_GB2312" w:eastAsia="仿宋_GB2312"/>
          <w:sz w:val="30"/>
          <w:szCs w:val="30"/>
        </w:rPr>
        <w:t>制造商提供</w:t>
      </w:r>
      <w:r>
        <w:rPr>
          <w:rFonts w:hint="eastAsia" w:ascii="仿宋_GB2312" w:eastAsia="仿宋_GB2312"/>
          <w:sz w:val="30"/>
          <w:szCs w:val="30"/>
          <w:lang w:eastAsia="zh-CN"/>
        </w:rPr>
        <w:t>的</w:t>
      </w:r>
      <w:r>
        <w:rPr>
          <w:rFonts w:hint="eastAsia" w:ascii="仿宋_GB2312" w:eastAsia="仿宋_GB2312"/>
          <w:sz w:val="30"/>
          <w:szCs w:val="30"/>
        </w:rPr>
        <w:t>已获通告的全部类别设备清单</w:t>
      </w:r>
      <w:r>
        <w:rPr>
          <w:rFonts w:hint="eastAsia" w:ascii="仿宋_GB2312" w:eastAsia="仿宋_GB2312"/>
          <w:sz w:val="30"/>
          <w:szCs w:val="30"/>
          <w:lang w:val="en-US" w:eastAsia="zh-CN"/>
        </w:rPr>
        <w:t>进行审查</w:t>
      </w:r>
      <w:r>
        <w:rPr>
          <w:rFonts w:hint="eastAsia" w:ascii="仿宋_GB2312" w:eastAsia="仿宋_GB2312"/>
          <w:sz w:val="30"/>
          <w:szCs w:val="30"/>
        </w:rPr>
        <w:t>。</w:t>
      </w:r>
    </w:p>
    <w:bookmarkEnd w:id="2"/>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bookmarkStart w:id="3" w:name="_Toc106629561"/>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六</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复核技术资料</w:t>
      </w:r>
      <w:r>
        <w:rPr>
          <w:rFonts w:hint="eastAsia" w:ascii="黑体" w:hAnsi="黑体" w:eastAsia="黑体" w:cs="黑体"/>
          <w:b w:val="0"/>
          <w:bCs/>
          <w:sz w:val="30"/>
          <w:szCs w:val="30"/>
          <w:highlight w:val="none"/>
          <w:lang w:eastAsia="zh-CN"/>
        </w:rPr>
        <w:t>】</w:t>
      </w:r>
      <w:r>
        <w:rPr>
          <w:rFonts w:hint="eastAsia" w:ascii="仿宋_GB2312" w:hAnsi="Times New Roman" w:eastAsia="仿宋_GB2312" w:cs="Times New Roman"/>
          <w:sz w:val="30"/>
          <w:szCs w:val="30"/>
          <w:lang w:val="en-US" w:eastAsia="zh-CN"/>
        </w:rPr>
        <w:t>检验机构应当</w:t>
      </w:r>
      <w:r>
        <w:rPr>
          <w:rFonts w:hint="eastAsia" w:ascii="仿宋_GB2312" w:eastAsia="仿宋_GB2312"/>
          <w:sz w:val="30"/>
          <w:szCs w:val="30"/>
          <w:lang w:val="en-US" w:eastAsia="zh-CN"/>
        </w:rPr>
        <w:t>对</w:t>
      </w:r>
      <w:r>
        <w:rPr>
          <w:rFonts w:hint="eastAsia" w:ascii="仿宋_GB2312" w:hAnsi="Times New Roman" w:eastAsia="仿宋_GB2312"/>
          <w:color w:val="auto"/>
          <w:sz w:val="30"/>
          <w:szCs w:val="30"/>
          <w:highlight w:val="none"/>
        </w:rPr>
        <w:t>制造商</w:t>
      </w:r>
      <w:r>
        <w:rPr>
          <w:rFonts w:hint="eastAsia" w:ascii="仿宋_GB2312" w:hAnsi="Times New Roman" w:eastAsia="仿宋_GB2312" w:cs="Times New Roman"/>
          <w:b w:val="0"/>
          <w:bCs w:val="0"/>
          <w:color w:val="auto"/>
          <w:sz w:val="30"/>
          <w:szCs w:val="30"/>
          <w:highlight w:val="none"/>
          <w:lang w:val="en-US" w:eastAsia="zh-CN"/>
        </w:rPr>
        <w:t>提供的</w:t>
      </w:r>
      <w:r>
        <w:rPr>
          <w:rFonts w:hint="eastAsia" w:ascii="仿宋_GB2312" w:hAnsi="Times New Roman" w:eastAsia="仿宋_GB2312"/>
          <w:color w:val="auto"/>
          <w:sz w:val="30"/>
          <w:szCs w:val="30"/>
          <w:highlight w:val="none"/>
        </w:rPr>
        <w:t>设备技术资料（含结构原理、工艺文件、技术参数、关键部件清单及其性能指标、执行的有关标准等）。</w:t>
      </w:r>
      <w:bookmarkEnd w:id="3"/>
    </w:p>
    <w:p>
      <w:pPr>
        <w:numPr>
          <w:ilvl w:val="0"/>
          <w:numId w:val="0"/>
        </w:numPr>
        <w:autoSpaceDE/>
        <w:autoSpaceDN/>
        <w:adjustRightInd/>
        <w:snapToGrid/>
        <w:spacing w:line="360" w:lineRule="auto"/>
        <w:ind w:firstLine="600" w:firstLineChars="200"/>
        <w:jc w:val="both"/>
        <w:outlineLvl w:val="1"/>
        <w:rPr>
          <w:rFonts w:hint="eastAsia" w:ascii="仿宋_GB2312" w:eastAsia="仿宋_GB2312"/>
          <w:sz w:val="30"/>
          <w:szCs w:val="30"/>
          <w:lang w:val="en-US" w:eastAsia="zh-CN"/>
        </w:rPr>
      </w:pPr>
      <w:r>
        <w:rPr>
          <w:rFonts w:hint="eastAsia" w:ascii="仿宋_GB2312" w:eastAsia="仿宋_GB2312"/>
          <w:sz w:val="30"/>
          <w:szCs w:val="30"/>
        </w:rPr>
        <w:t>进口设备</w:t>
      </w:r>
      <w:r>
        <w:rPr>
          <w:rFonts w:hint="eastAsia" w:ascii="仿宋_GB2312" w:eastAsia="仿宋_GB2312"/>
          <w:sz w:val="30"/>
          <w:szCs w:val="30"/>
          <w:lang w:val="en-US" w:eastAsia="zh-CN"/>
        </w:rPr>
        <w:t>制造商提供的</w:t>
      </w:r>
      <w:r>
        <w:rPr>
          <w:rFonts w:hint="eastAsia" w:ascii="仿宋_GB2312" w:eastAsia="仿宋_GB2312"/>
          <w:sz w:val="30"/>
          <w:szCs w:val="30"/>
        </w:rPr>
        <w:t>有关技术资料、文件、铭牌、安全警示标志及其简要说明等应当采用中文</w:t>
      </w:r>
      <w:r>
        <w:rPr>
          <w:rFonts w:hint="eastAsia" w:ascii="仿宋_GB2312" w:eastAsia="仿宋_GB2312"/>
          <w:sz w:val="30"/>
          <w:szCs w:val="30"/>
          <w:lang w:eastAsia="zh-CN"/>
        </w:rPr>
        <w:t>，</w:t>
      </w:r>
      <w:r>
        <w:rPr>
          <w:rFonts w:hint="eastAsia" w:ascii="仿宋_GB2312" w:eastAsia="仿宋_GB2312"/>
          <w:sz w:val="30"/>
          <w:szCs w:val="30"/>
          <w:lang w:val="en-US" w:eastAsia="zh-CN"/>
        </w:rPr>
        <w:t>同时应当提供相应外文原件</w:t>
      </w:r>
      <w:r>
        <w:rPr>
          <w:rFonts w:hint="eastAsia" w:ascii="仿宋_GB2312" w:eastAsia="仿宋_GB2312"/>
          <w:sz w:val="30"/>
          <w:szCs w:val="30"/>
        </w:rPr>
        <w:t>。</w:t>
      </w:r>
      <w:r>
        <w:rPr>
          <w:rFonts w:hint="eastAsia" w:ascii="仿宋_GB2312" w:eastAsia="仿宋_GB2312"/>
          <w:sz w:val="30"/>
          <w:szCs w:val="30"/>
          <w:lang w:val="en-US" w:eastAsia="zh-CN"/>
        </w:rPr>
        <w:t xml:space="preserve">  </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制造商对设备进行了改造，导致设备结构原理、设备主要技术参数或者设备关键部件（总成）规格型号发生改变的，制造商应当</w:t>
      </w:r>
      <w:r>
        <w:rPr>
          <w:rFonts w:hint="eastAsia" w:ascii="仿宋_GB2312" w:hAnsi="Times New Roman" w:eastAsia="仿宋_GB2312"/>
          <w:color w:val="auto"/>
          <w:sz w:val="30"/>
          <w:szCs w:val="30"/>
          <w:highlight w:val="none"/>
          <w:lang w:val="en-US" w:eastAsia="zh-CN"/>
        </w:rPr>
        <w:t>在质量一致性复审之前</w:t>
      </w:r>
      <w:r>
        <w:rPr>
          <w:rFonts w:hint="eastAsia" w:ascii="仿宋_GB2312" w:hAnsi="Times New Roman" w:eastAsia="仿宋_GB2312"/>
          <w:color w:val="auto"/>
          <w:sz w:val="30"/>
          <w:szCs w:val="30"/>
          <w:highlight w:val="none"/>
        </w:rPr>
        <w:t>向原检验机构提交补充检验申请，并提交改变的说明和证明材料。</w:t>
      </w:r>
    </w:p>
    <w:p>
      <w:pPr>
        <w:autoSpaceDE/>
        <w:autoSpaceDN/>
        <w:adjustRightInd/>
        <w:snapToGrid/>
        <w:spacing w:line="360" w:lineRule="auto"/>
        <w:ind w:firstLine="600" w:firstLineChars="200"/>
        <w:jc w:val="both"/>
        <w:outlineLvl w:val="9"/>
        <w:rPr>
          <w:rFonts w:hint="eastAsia" w:ascii="仿宋_GB2312" w:hAnsi="Times New Roman" w:eastAsia="仿宋_GB2312"/>
          <w:color w:val="auto"/>
          <w:sz w:val="30"/>
          <w:szCs w:val="30"/>
          <w:highlight w:val="none"/>
        </w:rPr>
      </w:pPr>
      <w:bookmarkStart w:id="4" w:name="_Toc106629563"/>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七</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复核自检标准及自检报告</w:t>
      </w:r>
      <w:r>
        <w:rPr>
          <w:rFonts w:hint="eastAsia" w:ascii="黑体" w:hAnsi="黑体" w:eastAsia="黑体" w:cs="黑体"/>
          <w:b w:val="0"/>
          <w:bCs/>
          <w:sz w:val="30"/>
          <w:szCs w:val="30"/>
          <w:highlight w:val="none"/>
          <w:lang w:eastAsia="zh-CN"/>
        </w:rPr>
        <w:t>】</w:t>
      </w:r>
      <w:r>
        <w:rPr>
          <w:rFonts w:hint="eastAsia" w:ascii="仿宋_GB2312" w:hAnsi="Times New Roman" w:eastAsia="仿宋_GB2312" w:cs="Times New Roman"/>
          <w:sz w:val="30"/>
          <w:szCs w:val="30"/>
          <w:lang w:val="en-US" w:eastAsia="zh-CN"/>
        </w:rPr>
        <w:t>检验机构应当</w:t>
      </w:r>
      <w:r>
        <w:rPr>
          <w:rFonts w:hint="eastAsia" w:ascii="仿宋_GB2312" w:eastAsia="仿宋_GB2312"/>
          <w:sz w:val="30"/>
          <w:szCs w:val="30"/>
          <w:lang w:val="en-US" w:eastAsia="zh-CN"/>
        </w:rPr>
        <w:t>对</w:t>
      </w:r>
      <w:r>
        <w:rPr>
          <w:rFonts w:hint="eastAsia" w:ascii="仿宋_GB2312" w:hAnsi="Times New Roman" w:eastAsia="仿宋_GB2312"/>
          <w:color w:val="auto"/>
          <w:sz w:val="30"/>
          <w:szCs w:val="30"/>
          <w:highlight w:val="none"/>
        </w:rPr>
        <w:t>制造商提供</w:t>
      </w:r>
      <w:r>
        <w:rPr>
          <w:rFonts w:hint="eastAsia" w:ascii="仿宋_GB2312" w:hAnsi="Times New Roman" w:eastAsia="仿宋_GB2312"/>
          <w:color w:val="auto"/>
          <w:sz w:val="30"/>
          <w:szCs w:val="30"/>
          <w:highlight w:val="none"/>
          <w:lang w:eastAsia="zh-CN"/>
        </w:rPr>
        <w:t>的</w:t>
      </w:r>
      <w:r>
        <w:rPr>
          <w:rFonts w:hint="eastAsia" w:ascii="仿宋_GB2312" w:hAnsi="Times New Roman" w:eastAsia="仿宋_GB2312"/>
          <w:color w:val="auto"/>
          <w:sz w:val="30"/>
          <w:szCs w:val="30"/>
          <w:highlight w:val="none"/>
        </w:rPr>
        <w:t>本审核周期内目视助航设备的自行检测标准及自行检测报告</w:t>
      </w:r>
      <w:r>
        <w:rPr>
          <w:rFonts w:hint="eastAsia" w:ascii="仿宋_GB2312" w:hAnsi="Times New Roman" w:eastAsia="仿宋_GB2312"/>
          <w:color w:val="auto"/>
          <w:sz w:val="30"/>
          <w:szCs w:val="30"/>
          <w:highlight w:val="none"/>
          <w:lang w:val="en-US" w:eastAsia="zh-CN"/>
        </w:rPr>
        <w:t>进行审查</w:t>
      </w:r>
      <w:r>
        <w:rPr>
          <w:rFonts w:hint="eastAsia" w:ascii="仿宋_GB2312" w:hAnsi="Times New Roman" w:eastAsia="仿宋_GB2312"/>
          <w:color w:val="auto"/>
          <w:sz w:val="30"/>
          <w:szCs w:val="30"/>
          <w:highlight w:val="none"/>
        </w:rPr>
        <w:t>。</w:t>
      </w:r>
      <w:bookmarkEnd w:id="4"/>
    </w:p>
    <w:p>
      <w:pPr>
        <w:autoSpaceDE/>
        <w:autoSpaceDN/>
        <w:adjustRightInd/>
        <w:snapToGrid/>
        <w:spacing w:line="360" w:lineRule="auto"/>
        <w:ind w:firstLine="600" w:firstLineChars="200"/>
        <w:jc w:val="both"/>
        <w:outlineLvl w:val="9"/>
        <w:rPr>
          <w:rFonts w:hint="eastAsia" w:ascii="仿宋_GB2312" w:hAnsi="Times New Roman" w:eastAsia="仿宋_GB2312"/>
          <w:color w:val="auto"/>
          <w:sz w:val="30"/>
          <w:szCs w:val="30"/>
          <w:highlight w:val="none"/>
        </w:rPr>
      </w:pPr>
      <w:bookmarkStart w:id="5" w:name="_Toc106629564"/>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八</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复核说明书</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lang w:val="en-US" w:eastAsia="zh-CN"/>
        </w:rPr>
        <w:t>制造商应当提供设备</w:t>
      </w:r>
      <w:r>
        <w:rPr>
          <w:rFonts w:hint="eastAsia" w:ascii="仿宋_GB2312" w:hAnsi="Times New Roman" w:eastAsia="仿宋_GB2312"/>
          <w:color w:val="auto"/>
          <w:sz w:val="30"/>
          <w:szCs w:val="30"/>
          <w:highlight w:val="none"/>
        </w:rPr>
        <w:t>使用及维护说明书的受控版本，应当符合最新型式试验合格报告中说明书的要求。</w:t>
      </w:r>
      <w:bookmarkEnd w:id="5"/>
    </w:p>
    <w:p>
      <w:pPr>
        <w:spacing w:line="360" w:lineRule="auto"/>
        <w:ind w:firstLine="600" w:firstLineChars="200"/>
        <w:outlineLvl w:val="1"/>
        <w:rPr>
          <w:rFonts w:hint="eastAsia" w:ascii="仿宋_GB2312" w:eastAsia="仿宋_GB2312"/>
          <w:sz w:val="30"/>
          <w:szCs w:val="30"/>
        </w:rPr>
      </w:pPr>
      <w:r>
        <w:rPr>
          <w:rFonts w:hint="eastAsia" w:eastAsia="黑体"/>
          <w:bCs/>
          <w:sz w:val="30"/>
          <w:szCs w:val="30"/>
        </w:rPr>
        <w:t>第</w:t>
      </w:r>
      <w:r>
        <w:rPr>
          <w:rFonts w:hint="eastAsia" w:eastAsia="黑体"/>
          <w:bCs/>
          <w:sz w:val="30"/>
          <w:szCs w:val="30"/>
          <w:lang w:val="en-US" w:eastAsia="zh-CN"/>
        </w:rPr>
        <w:t>九</w:t>
      </w:r>
      <w:r>
        <w:rPr>
          <w:rFonts w:hint="eastAsia" w:eastAsia="黑体"/>
          <w:bCs/>
          <w:sz w:val="30"/>
          <w:szCs w:val="30"/>
        </w:rPr>
        <w:t>条</w:t>
      </w:r>
      <w:r>
        <w:rPr>
          <w:rFonts w:hint="eastAsia" w:eastAsia="黑体"/>
          <w:bCs/>
          <w:sz w:val="30"/>
          <w:szCs w:val="30"/>
          <w:lang w:eastAsia="zh-CN"/>
        </w:rPr>
        <w:t>【</w:t>
      </w:r>
      <w:r>
        <w:rPr>
          <w:rFonts w:hint="eastAsia" w:eastAsia="黑体"/>
          <w:bCs/>
          <w:sz w:val="30"/>
          <w:szCs w:val="30"/>
        </w:rPr>
        <w:t>复核</w:t>
      </w:r>
      <w:r>
        <w:rPr>
          <w:rFonts w:hint="eastAsia" w:eastAsia="黑体"/>
          <w:bCs/>
          <w:sz w:val="30"/>
          <w:szCs w:val="30"/>
          <w:lang w:val="en-US" w:eastAsia="zh-CN"/>
        </w:rPr>
        <w:t>维护保养说明</w:t>
      </w:r>
      <w:r>
        <w:rPr>
          <w:rFonts w:hint="eastAsia" w:eastAsia="黑体"/>
          <w:bCs/>
          <w:sz w:val="30"/>
          <w:szCs w:val="30"/>
          <w:lang w:eastAsia="zh-CN"/>
        </w:rPr>
        <w:t>】</w:t>
      </w:r>
      <w:r>
        <w:rPr>
          <w:rFonts w:hint="eastAsia" w:ascii="仿宋_GB2312" w:eastAsia="仿宋_GB2312"/>
          <w:sz w:val="30"/>
          <w:szCs w:val="30"/>
          <w:lang w:val="en-US" w:eastAsia="zh-CN"/>
        </w:rPr>
        <w:t>当设备维护保养要求明显高于同行业同类产品时，制造商应当提交相应说明，检验机构应当在该设备通告中予以标注。</w:t>
      </w:r>
      <w:r>
        <w:rPr>
          <w:rFonts w:hint="eastAsia" w:ascii="仿宋_GB2312" w:eastAsia="仿宋_GB2312"/>
          <w:sz w:val="30"/>
          <w:szCs w:val="30"/>
        </w:rPr>
        <w:t xml:space="preserve"> </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lang w:val="en-US" w:eastAsia="zh-CN"/>
        </w:rPr>
      </w:pPr>
      <w:bookmarkStart w:id="6" w:name="_Toc106629565"/>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十</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bookmarkEnd w:id="6"/>
      <w:r>
        <w:rPr>
          <w:rFonts w:hint="eastAsia" w:ascii="黑体" w:hAnsi="黑体" w:eastAsia="黑体" w:cs="黑体"/>
          <w:b w:val="0"/>
          <w:bCs/>
          <w:sz w:val="30"/>
          <w:szCs w:val="30"/>
          <w:highlight w:val="none"/>
          <w:lang w:val="en-US" w:eastAsia="zh-CN"/>
        </w:rPr>
        <w:t>复核质量保证情况</w:t>
      </w:r>
      <w:r>
        <w:rPr>
          <w:rFonts w:hint="eastAsia" w:ascii="黑体" w:hAnsi="黑体" w:eastAsia="黑体" w:cs="黑体"/>
          <w:b w:val="0"/>
          <w:bCs/>
          <w:sz w:val="30"/>
          <w:szCs w:val="30"/>
          <w:highlight w:val="none"/>
          <w:lang w:eastAsia="zh-CN"/>
        </w:rPr>
        <w:t>】</w:t>
      </w:r>
      <w:r>
        <w:rPr>
          <w:rFonts w:hint="eastAsia" w:ascii="仿宋_GB2312" w:hAnsi="Times New Roman" w:eastAsia="仿宋_GB2312" w:cs="Times New Roman"/>
          <w:sz w:val="30"/>
          <w:szCs w:val="30"/>
          <w:lang w:val="en-US" w:eastAsia="zh-CN"/>
        </w:rPr>
        <w:t>检验机构应当</w:t>
      </w:r>
      <w:r>
        <w:rPr>
          <w:rFonts w:hint="eastAsia" w:ascii="仿宋_GB2312" w:eastAsia="仿宋_GB2312"/>
          <w:sz w:val="30"/>
          <w:szCs w:val="30"/>
          <w:lang w:val="en-US" w:eastAsia="zh-CN"/>
        </w:rPr>
        <w:t>对</w:t>
      </w:r>
      <w:r>
        <w:rPr>
          <w:rFonts w:hint="eastAsia" w:ascii="仿宋_GB2312" w:hAnsi="Times New Roman" w:eastAsia="仿宋_GB2312"/>
          <w:color w:val="auto"/>
          <w:sz w:val="30"/>
          <w:szCs w:val="30"/>
          <w:highlight w:val="none"/>
        </w:rPr>
        <w:t>制造商</w:t>
      </w:r>
      <w:r>
        <w:rPr>
          <w:rFonts w:hint="eastAsia" w:ascii="仿宋_GB2312" w:hAnsi="Times New Roman" w:eastAsia="仿宋_GB2312"/>
          <w:color w:val="auto"/>
          <w:sz w:val="30"/>
          <w:szCs w:val="30"/>
          <w:highlight w:val="none"/>
          <w:lang w:eastAsia="zh-CN"/>
        </w:rPr>
        <w:t>的</w:t>
      </w:r>
      <w:r>
        <w:rPr>
          <w:rFonts w:hint="eastAsia" w:ascii="仿宋_GB2312" w:hAnsi="Times New Roman" w:eastAsia="仿宋_GB2312"/>
          <w:color w:val="auto"/>
          <w:sz w:val="30"/>
          <w:szCs w:val="30"/>
          <w:highlight w:val="none"/>
        </w:rPr>
        <w:t>安全管理制度</w:t>
      </w:r>
      <w:r>
        <w:rPr>
          <w:rFonts w:hint="eastAsia" w:ascii="仿宋_GB2312" w:hAnsi="Times New Roman" w:eastAsia="仿宋_GB2312"/>
          <w:color w:val="auto"/>
          <w:sz w:val="30"/>
          <w:szCs w:val="30"/>
          <w:highlight w:val="none"/>
          <w:lang w:val="en-US" w:eastAsia="zh-CN"/>
        </w:rPr>
        <w:t>进行审查，制造商应当按照相关制度</w:t>
      </w:r>
      <w:r>
        <w:rPr>
          <w:rFonts w:hint="eastAsia" w:ascii="仿宋_GB2312" w:hAnsi="Times New Roman" w:eastAsia="仿宋_GB2312"/>
          <w:color w:val="auto"/>
          <w:sz w:val="30"/>
          <w:szCs w:val="30"/>
          <w:highlight w:val="none"/>
        </w:rPr>
        <w:t>进行安全生产作业，并予切实实施。</w:t>
      </w:r>
    </w:p>
    <w:p>
      <w:pPr>
        <w:autoSpaceDE/>
        <w:autoSpaceDN/>
        <w:adjustRightInd/>
        <w:snapToGrid/>
        <w:spacing w:line="360" w:lineRule="auto"/>
        <w:ind w:firstLine="600" w:firstLineChars="200"/>
        <w:jc w:val="both"/>
        <w:outlineLvl w:val="9"/>
        <w:rPr>
          <w:rFonts w:hint="eastAsia" w:ascii="仿宋_GB2312" w:hAnsi="Times New Roman" w:eastAsia="仿宋_GB2312"/>
          <w:color w:val="auto"/>
          <w:sz w:val="30"/>
          <w:szCs w:val="30"/>
          <w:highlight w:val="none"/>
          <w:lang w:eastAsia="zh-CN"/>
        </w:rPr>
      </w:pPr>
      <w:bookmarkStart w:id="7" w:name="_Toc106629566"/>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十一</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复核一致性保证条件变更说明</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w:t>
      </w:r>
      <w:r>
        <w:rPr>
          <w:rFonts w:hint="eastAsia" w:ascii="仿宋_GB2312" w:hAnsi="Times New Roman" w:eastAsia="仿宋_GB2312"/>
          <w:color w:val="auto"/>
          <w:sz w:val="30"/>
          <w:szCs w:val="30"/>
          <w:highlight w:val="none"/>
          <w:lang w:val="en-US" w:eastAsia="zh-CN"/>
        </w:rPr>
        <w:t>应当满足</w:t>
      </w:r>
      <w:r>
        <w:rPr>
          <w:rFonts w:hint="eastAsia" w:ascii="仿宋_GB2312" w:hAnsi="Times New Roman" w:eastAsia="仿宋_GB2312"/>
          <w:color w:val="auto"/>
          <w:sz w:val="30"/>
          <w:szCs w:val="30"/>
          <w:highlight w:val="none"/>
        </w:rPr>
        <w:t>质量一致性保证条件，保证生产出的</w:t>
      </w:r>
      <w:r>
        <w:rPr>
          <w:rFonts w:hint="eastAsia" w:ascii="仿宋_GB2312" w:hAnsi="Times New Roman" w:eastAsia="仿宋_GB2312"/>
          <w:color w:val="auto"/>
          <w:sz w:val="30"/>
          <w:szCs w:val="30"/>
          <w:highlight w:val="none"/>
          <w:lang w:val="en-US" w:eastAsia="zh-CN"/>
        </w:rPr>
        <w:t>目视助航</w:t>
      </w:r>
      <w:r>
        <w:rPr>
          <w:rFonts w:hint="eastAsia" w:ascii="仿宋_GB2312" w:hAnsi="Times New Roman" w:eastAsia="仿宋_GB2312"/>
          <w:color w:val="auto"/>
          <w:sz w:val="30"/>
          <w:szCs w:val="30"/>
          <w:highlight w:val="none"/>
        </w:rPr>
        <w:t>设备与检测合格的设备样品质量一致</w:t>
      </w:r>
      <w:r>
        <w:rPr>
          <w:rFonts w:hint="eastAsia" w:ascii="仿宋_GB2312" w:hAnsi="Times New Roman" w:eastAsia="仿宋_GB2312"/>
          <w:color w:val="auto"/>
          <w:sz w:val="30"/>
          <w:szCs w:val="30"/>
          <w:highlight w:val="none"/>
          <w:lang w:eastAsia="zh-CN"/>
        </w:rPr>
        <w:t>。</w:t>
      </w:r>
    </w:p>
    <w:p>
      <w:pPr>
        <w:autoSpaceDE/>
        <w:autoSpaceDN/>
        <w:adjustRightInd/>
        <w:snapToGrid/>
        <w:spacing w:line="360" w:lineRule="auto"/>
        <w:ind w:firstLine="600" w:firstLineChars="200"/>
        <w:jc w:val="both"/>
        <w:outlineLvl w:val="9"/>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lang w:val="en-US" w:eastAsia="zh-CN"/>
        </w:rPr>
        <w:t>发生以下变化时，制造商应当在变化后30日内</w:t>
      </w:r>
      <w:r>
        <w:rPr>
          <w:rFonts w:hint="eastAsia" w:ascii="仿宋_GB2312" w:hAnsi="Times New Roman" w:eastAsia="仿宋_GB2312"/>
          <w:color w:val="auto"/>
          <w:sz w:val="30"/>
          <w:szCs w:val="30"/>
          <w:highlight w:val="none"/>
        </w:rPr>
        <w:t>向原检验机构提交质量一致性变更审核</w:t>
      </w:r>
      <w:r>
        <w:rPr>
          <w:rFonts w:hint="eastAsia" w:ascii="仿宋_GB2312" w:hAnsi="Times New Roman" w:eastAsia="仿宋_GB2312"/>
          <w:color w:val="auto"/>
          <w:sz w:val="30"/>
          <w:szCs w:val="30"/>
          <w:highlight w:val="none"/>
          <w:lang w:val="en-US" w:eastAsia="zh-CN"/>
        </w:rPr>
        <w:t>的</w:t>
      </w:r>
      <w:r>
        <w:rPr>
          <w:rFonts w:hint="eastAsia" w:ascii="仿宋_GB2312" w:hAnsi="Times New Roman" w:eastAsia="仿宋_GB2312"/>
          <w:color w:val="auto"/>
          <w:sz w:val="30"/>
          <w:szCs w:val="30"/>
          <w:highlight w:val="none"/>
        </w:rPr>
        <w:t>申请</w:t>
      </w:r>
      <w:r>
        <w:rPr>
          <w:rFonts w:hint="eastAsia" w:ascii="仿宋_GB2312" w:hAnsi="Times New Roman" w:eastAsia="仿宋_GB2312"/>
          <w:color w:val="auto"/>
          <w:sz w:val="30"/>
          <w:szCs w:val="30"/>
          <w:highlight w:val="none"/>
          <w:lang w:eastAsia="zh-CN"/>
        </w:rPr>
        <w:t>：</w:t>
      </w:r>
      <w:bookmarkEnd w:id="7"/>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（一）主要生产工艺或工装</w:t>
      </w:r>
      <w:r>
        <w:rPr>
          <w:rFonts w:hint="eastAsia" w:ascii="仿宋_GB2312" w:hAnsi="Times New Roman" w:eastAsia="仿宋_GB2312"/>
          <w:color w:val="auto"/>
          <w:sz w:val="30"/>
          <w:szCs w:val="30"/>
          <w:highlight w:val="none"/>
          <w:lang w:val="en-US" w:eastAsia="zh-CN"/>
        </w:rPr>
        <w:t>发生变化</w:t>
      </w:r>
      <w:r>
        <w:rPr>
          <w:rFonts w:hint="eastAsia" w:ascii="仿宋_GB2312" w:hAnsi="Times New Roman" w:eastAsia="仿宋_GB2312"/>
          <w:color w:val="auto"/>
          <w:sz w:val="30"/>
          <w:szCs w:val="30"/>
          <w:highlight w:val="none"/>
        </w:rPr>
        <w:t>；</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（二）主要生产和检验设备、设施</w:t>
      </w:r>
      <w:r>
        <w:rPr>
          <w:rFonts w:hint="eastAsia" w:ascii="仿宋_GB2312" w:hAnsi="Times New Roman" w:eastAsia="仿宋_GB2312"/>
          <w:color w:val="auto"/>
          <w:sz w:val="30"/>
          <w:szCs w:val="30"/>
          <w:highlight w:val="none"/>
          <w:lang w:val="en-US" w:eastAsia="zh-CN"/>
        </w:rPr>
        <w:t>发生改变</w:t>
      </w:r>
      <w:r>
        <w:rPr>
          <w:rFonts w:hint="eastAsia" w:ascii="仿宋_GB2312" w:hAnsi="Times New Roman" w:eastAsia="仿宋_GB2312"/>
          <w:color w:val="auto"/>
          <w:sz w:val="30"/>
          <w:szCs w:val="30"/>
          <w:highlight w:val="none"/>
        </w:rPr>
        <w:t>；</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lang w:val="en-US" w:eastAsia="zh-CN"/>
        </w:rPr>
      </w:pPr>
      <w:r>
        <w:rPr>
          <w:rFonts w:hint="eastAsia" w:ascii="仿宋_GB2312" w:hAnsi="Times New Roman" w:eastAsia="仿宋_GB2312"/>
          <w:color w:val="auto"/>
          <w:sz w:val="30"/>
          <w:szCs w:val="30"/>
          <w:highlight w:val="none"/>
        </w:rPr>
        <w:t>（三）生产工作场所</w:t>
      </w:r>
      <w:r>
        <w:rPr>
          <w:rFonts w:hint="eastAsia" w:ascii="仿宋_GB2312" w:hAnsi="Times New Roman" w:eastAsia="仿宋_GB2312"/>
          <w:color w:val="auto"/>
          <w:sz w:val="30"/>
          <w:szCs w:val="30"/>
          <w:highlight w:val="none"/>
          <w:lang w:val="en-US" w:eastAsia="zh-CN"/>
        </w:rPr>
        <w:t>发生了改变；</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lang w:val="en-US" w:eastAsia="zh-CN"/>
        </w:rPr>
      </w:pPr>
      <w:r>
        <w:rPr>
          <w:rFonts w:hint="eastAsia" w:ascii="仿宋_GB2312" w:hAnsi="Times New Roman" w:eastAsia="仿宋_GB2312"/>
          <w:color w:val="auto"/>
          <w:sz w:val="30"/>
          <w:szCs w:val="30"/>
          <w:highlight w:val="none"/>
          <w:lang w:val="en-US" w:eastAsia="zh-CN"/>
        </w:rPr>
        <w:t>（四）一致性控制管理失效</w:t>
      </w:r>
      <w:r>
        <w:rPr>
          <w:rFonts w:hint="eastAsia" w:ascii="仿宋_GB2312" w:hAnsi="Times New Roman" w:eastAsia="仿宋_GB2312"/>
          <w:color w:val="auto"/>
          <w:sz w:val="30"/>
          <w:szCs w:val="30"/>
          <w:highlight w:val="none"/>
        </w:rPr>
        <w:t>。</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lang w:val="en-US" w:eastAsia="zh-CN"/>
        </w:rPr>
      </w:pPr>
      <w:r>
        <w:rPr>
          <w:rFonts w:hint="eastAsia" w:ascii="仿宋_GB2312" w:hAnsi="Times New Roman" w:eastAsia="仿宋_GB2312"/>
          <w:color w:val="auto"/>
          <w:sz w:val="30"/>
          <w:szCs w:val="30"/>
          <w:highlight w:val="none"/>
          <w:lang w:val="en-US" w:eastAsia="zh-CN"/>
        </w:rPr>
        <w:t>申请材料应当包括变更情况说明和有关的证明材料。</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bookmarkStart w:id="8" w:name="_Toc106629567"/>
      <w:r>
        <w:rPr>
          <w:rFonts w:hint="eastAsia" w:ascii="黑体" w:hAnsi="黑体" w:eastAsia="黑体" w:cs="黑体"/>
          <w:b w:val="0"/>
          <w:bCs/>
          <w:sz w:val="30"/>
          <w:szCs w:val="30"/>
          <w:highlight w:val="none"/>
        </w:rPr>
        <w:t>第十</w:t>
      </w:r>
      <w:r>
        <w:rPr>
          <w:rFonts w:hint="eastAsia" w:ascii="黑体" w:hAnsi="黑体" w:eastAsia="黑体" w:cs="黑体"/>
          <w:b w:val="0"/>
          <w:bCs/>
          <w:sz w:val="30"/>
          <w:szCs w:val="30"/>
          <w:highlight w:val="none"/>
          <w:lang w:val="en-US" w:eastAsia="zh-CN"/>
        </w:rPr>
        <w:t>二</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复核设备改造情况</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审查涉及的标准或技术规范是否发生修改、制造商对设备是否进行了改造。</w:t>
      </w:r>
      <w:bookmarkEnd w:id="8"/>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有涉及标准或技术规范修改或制造商对目视助航设备改造</w:t>
      </w:r>
      <w:r>
        <w:rPr>
          <w:rFonts w:hint="eastAsia" w:ascii="仿宋_GB2312" w:hAnsi="Times New Roman" w:eastAsia="仿宋_GB2312"/>
          <w:color w:val="auto"/>
          <w:sz w:val="30"/>
          <w:szCs w:val="30"/>
          <w:highlight w:val="none"/>
          <w:lang w:val="en-US" w:eastAsia="zh-CN"/>
        </w:rPr>
        <w:t>等</w:t>
      </w:r>
      <w:r>
        <w:rPr>
          <w:rFonts w:hint="eastAsia" w:ascii="仿宋_GB2312" w:hAnsi="Times New Roman" w:eastAsia="仿宋_GB2312"/>
          <w:color w:val="auto"/>
          <w:sz w:val="30"/>
          <w:szCs w:val="30"/>
          <w:highlight w:val="none"/>
        </w:rPr>
        <w:t>情况，制造商应当在</w:t>
      </w:r>
      <w:r>
        <w:rPr>
          <w:rFonts w:hint="eastAsia" w:ascii="仿宋_GB2312" w:hAnsi="Times New Roman" w:eastAsia="仿宋_GB2312"/>
          <w:color w:val="auto"/>
          <w:sz w:val="30"/>
          <w:szCs w:val="30"/>
          <w:highlight w:val="none"/>
          <w:lang w:val="en-US" w:eastAsia="zh-CN"/>
        </w:rPr>
        <w:t>质量一致性</w:t>
      </w:r>
      <w:r>
        <w:rPr>
          <w:rFonts w:hint="eastAsia" w:ascii="仿宋_GB2312" w:hAnsi="Times New Roman" w:eastAsia="仿宋_GB2312"/>
          <w:color w:val="auto"/>
          <w:sz w:val="30"/>
          <w:szCs w:val="30"/>
          <w:highlight w:val="none"/>
        </w:rPr>
        <w:t>复审前向原检验机构提交重新检验或者补充检验的申请、标准或技术规范修改说明及制造商对设备改造说明和证明材料。</w:t>
      </w:r>
    </w:p>
    <w:p>
      <w:pPr>
        <w:autoSpaceDE/>
        <w:autoSpaceDN/>
        <w:adjustRightInd/>
        <w:snapToGrid/>
        <w:spacing w:line="360" w:lineRule="auto"/>
        <w:ind w:firstLine="600" w:firstLineChars="200"/>
        <w:jc w:val="both"/>
        <w:outlineLvl w:val="9"/>
        <w:rPr>
          <w:rFonts w:hint="default" w:ascii="仿宋_GB2312" w:hAnsi="Times New Roman" w:eastAsia="仿宋_GB2312"/>
          <w:b w:val="0"/>
          <w:color w:val="auto"/>
          <w:sz w:val="30"/>
          <w:szCs w:val="30"/>
          <w:highlight w:val="none"/>
          <w:lang w:val="en-US" w:eastAsia="zh-CN"/>
        </w:rPr>
      </w:pPr>
      <w:r>
        <w:rPr>
          <w:rFonts w:hint="eastAsia" w:ascii="黑体" w:hAnsi="黑体" w:eastAsia="黑体" w:cs="黑体"/>
          <w:bCs/>
          <w:color w:val="auto"/>
          <w:sz w:val="30"/>
          <w:szCs w:val="30"/>
          <w:highlight w:val="none"/>
          <w:lang w:val="en-US" w:eastAsia="zh-CN"/>
        </w:rPr>
        <w:t>第十三条</w:t>
      </w:r>
      <w:r>
        <w:rPr>
          <w:rFonts w:hint="eastAsia" w:ascii="黑体" w:hAnsi="黑体" w:eastAsia="黑体" w:cs="黑体"/>
          <w:b w:val="0"/>
          <w:bCs/>
          <w:sz w:val="30"/>
          <w:szCs w:val="30"/>
          <w:highlight w:val="none"/>
          <w:lang w:eastAsia="zh-CN"/>
        </w:rPr>
        <w:t>【</w:t>
      </w:r>
      <w:r>
        <w:rPr>
          <w:rFonts w:hint="eastAsia" w:ascii="黑体" w:hAnsi="黑体" w:eastAsia="黑体" w:cs="黑体"/>
          <w:bCs/>
          <w:color w:val="auto"/>
          <w:sz w:val="30"/>
          <w:szCs w:val="30"/>
          <w:highlight w:val="none"/>
          <w:lang w:val="en-US" w:eastAsia="zh-CN"/>
        </w:rPr>
        <w:t>复核以往审核问题</w:t>
      </w:r>
      <w:r>
        <w:rPr>
          <w:rFonts w:hint="eastAsia" w:ascii="黑体" w:hAnsi="黑体" w:eastAsia="黑体" w:cs="黑体"/>
          <w:b w:val="0"/>
          <w:bCs/>
          <w:sz w:val="30"/>
          <w:szCs w:val="30"/>
          <w:highlight w:val="none"/>
          <w:lang w:eastAsia="zh-CN"/>
        </w:rPr>
        <w:t>】</w:t>
      </w:r>
      <w:r>
        <w:rPr>
          <w:rFonts w:hint="eastAsia" w:ascii="仿宋_GB2312" w:eastAsia="仿宋_GB2312"/>
          <w:sz w:val="30"/>
          <w:szCs w:val="30"/>
          <w:highlight w:val="none"/>
          <w:lang w:val="en-US" w:eastAsia="zh-CN"/>
        </w:rPr>
        <w:t>检验机构应当对</w:t>
      </w:r>
      <w:r>
        <w:rPr>
          <w:rFonts w:hint="eastAsia" w:ascii="仿宋_GB2312" w:eastAsia="仿宋_GB2312"/>
          <w:sz w:val="30"/>
          <w:szCs w:val="30"/>
          <w:highlight w:val="none"/>
        </w:rPr>
        <w:t>制造商提供</w:t>
      </w:r>
      <w:r>
        <w:rPr>
          <w:rFonts w:hint="eastAsia" w:ascii="仿宋_GB2312" w:eastAsia="仿宋_GB2312"/>
          <w:sz w:val="30"/>
          <w:szCs w:val="30"/>
          <w:highlight w:val="none"/>
          <w:lang w:eastAsia="zh-CN"/>
        </w:rPr>
        <w:t>的</w:t>
      </w:r>
      <w:r>
        <w:rPr>
          <w:rFonts w:hint="eastAsia" w:ascii="仿宋_GB2312" w:eastAsia="仿宋_GB2312"/>
          <w:sz w:val="30"/>
          <w:szCs w:val="30"/>
          <w:highlight w:val="none"/>
        </w:rPr>
        <w:t>四年内所有需复审设备的“质量一致性审核</w:t>
      </w:r>
      <w:r>
        <w:rPr>
          <w:rFonts w:hint="eastAsia" w:ascii="仿宋_GB2312" w:eastAsia="仿宋_GB2312"/>
          <w:sz w:val="30"/>
          <w:szCs w:val="30"/>
          <w:highlight w:val="none"/>
          <w:lang w:val="en-US" w:eastAsia="zh-CN"/>
        </w:rPr>
        <w:t>整改项清单</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进行审查</w:t>
      </w:r>
      <w:r>
        <w:rPr>
          <w:rFonts w:hint="eastAsia" w:ascii="仿宋_GB2312" w:eastAsia="仿宋_GB2312"/>
          <w:sz w:val="30"/>
          <w:szCs w:val="30"/>
          <w:highlight w:val="none"/>
        </w:rPr>
        <w:t>。</w:t>
      </w:r>
    </w:p>
    <w:p>
      <w:pPr>
        <w:autoSpaceDE/>
        <w:autoSpaceDN/>
        <w:adjustRightInd/>
        <w:snapToGrid/>
        <w:spacing w:line="360" w:lineRule="auto"/>
        <w:ind w:firstLine="600" w:firstLineChars="200"/>
        <w:jc w:val="left"/>
        <w:outlineLvl w:val="9"/>
        <w:rPr>
          <w:rFonts w:hint="eastAsia" w:ascii="仿宋_GB2312" w:hAnsi="Times New Roman" w:eastAsia="仿宋_GB2312" w:cs="Times New Roman"/>
          <w:b w:val="0"/>
          <w:bCs w:val="0"/>
          <w:color w:val="auto"/>
          <w:sz w:val="30"/>
          <w:szCs w:val="30"/>
          <w:highlight w:val="none"/>
        </w:rPr>
      </w:pPr>
      <w:bookmarkStart w:id="9" w:name="_Toc106629569"/>
      <w:r>
        <w:rPr>
          <w:rFonts w:hint="eastAsia" w:ascii="黑体" w:hAnsi="黑体" w:eastAsia="黑体" w:cs="黑体"/>
          <w:b w:val="0"/>
          <w:bCs/>
          <w:sz w:val="30"/>
          <w:szCs w:val="30"/>
          <w:highlight w:val="none"/>
        </w:rPr>
        <w:t>第十</w:t>
      </w:r>
      <w:r>
        <w:rPr>
          <w:rFonts w:hint="eastAsia" w:ascii="黑体" w:hAnsi="黑体" w:eastAsia="黑体" w:cs="黑体"/>
          <w:b w:val="0"/>
          <w:bCs/>
          <w:sz w:val="30"/>
          <w:szCs w:val="30"/>
          <w:highlight w:val="none"/>
          <w:lang w:val="en-US" w:eastAsia="zh-CN"/>
        </w:rPr>
        <w:t>四</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复核采购清单</w:t>
      </w:r>
      <w:r>
        <w:rPr>
          <w:rFonts w:hint="eastAsia" w:ascii="黑体" w:hAnsi="黑体" w:eastAsia="黑体" w:cs="黑体"/>
          <w:b w:val="0"/>
          <w:bCs/>
          <w:sz w:val="30"/>
          <w:szCs w:val="30"/>
          <w:highlight w:val="none"/>
          <w:lang w:eastAsia="zh-CN"/>
        </w:rPr>
        <w:t>】</w:t>
      </w:r>
      <w:r>
        <w:rPr>
          <w:rFonts w:hint="eastAsia" w:ascii="仿宋_GB2312" w:eastAsia="仿宋_GB2312"/>
          <w:sz w:val="30"/>
          <w:szCs w:val="30"/>
          <w:lang w:val="en-US" w:eastAsia="zh-CN"/>
        </w:rPr>
        <w:t>检验机构应当对</w:t>
      </w:r>
      <w:r>
        <w:rPr>
          <w:rFonts w:hint="eastAsia" w:ascii="仿宋_GB2312" w:hAnsi="Times New Roman" w:eastAsia="仿宋_GB2312"/>
          <w:color w:val="auto"/>
          <w:sz w:val="30"/>
          <w:szCs w:val="30"/>
          <w:highlight w:val="none"/>
        </w:rPr>
        <w:t>制造商提供</w:t>
      </w:r>
      <w:r>
        <w:rPr>
          <w:rFonts w:hint="eastAsia" w:ascii="仿宋_GB2312" w:hAnsi="Times New Roman" w:eastAsia="仿宋_GB2312"/>
          <w:color w:val="auto"/>
          <w:sz w:val="30"/>
          <w:szCs w:val="30"/>
          <w:highlight w:val="none"/>
          <w:lang w:eastAsia="zh-CN"/>
        </w:rPr>
        <w:t>的</w:t>
      </w:r>
      <w:r>
        <w:rPr>
          <w:rFonts w:hint="eastAsia" w:ascii="仿宋_GB2312" w:hAnsi="Times New Roman" w:eastAsia="仿宋_GB2312"/>
          <w:color w:val="auto"/>
          <w:sz w:val="30"/>
          <w:szCs w:val="30"/>
          <w:highlight w:val="none"/>
        </w:rPr>
        <w:t>二年内已售目视助航设备采购单位清单及其相关证明</w:t>
      </w:r>
      <w:r>
        <w:rPr>
          <w:rFonts w:hint="eastAsia" w:ascii="仿宋_GB2312" w:eastAsia="仿宋_GB2312"/>
          <w:sz w:val="30"/>
          <w:szCs w:val="30"/>
          <w:lang w:val="en-US" w:eastAsia="zh-CN"/>
        </w:rPr>
        <w:t>进行审查</w:t>
      </w:r>
      <w:r>
        <w:rPr>
          <w:rFonts w:hint="eastAsia" w:ascii="仿宋_GB2312" w:hAnsi="Times New Roman" w:eastAsia="仿宋_GB2312"/>
          <w:color w:val="auto"/>
          <w:sz w:val="30"/>
          <w:szCs w:val="30"/>
          <w:highlight w:val="none"/>
        </w:rPr>
        <w:t>，如设备销售合同或订单等（涉密信息部分可遮蔽）。</w:t>
      </w:r>
      <w:bookmarkEnd w:id="9"/>
    </w:p>
    <w:p>
      <w:pPr>
        <w:autoSpaceDE/>
        <w:autoSpaceDN/>
        <w:adjustRightInd/>
        <w:snapToGrid/>
        <w:spacing w:line="360" w:lineRule="auto"/>
        <w:ind w:firstLine="600" w:firstLineChars="200"/>
        <w:jc w:val="left"/>
        <w:outlineLvl w:val="9"/>
        <w:rPr>
          <w:rFonts w:hint="eastAsia" w:ascii="仿宋_GB2312" w:hAnsi="Times New Roman" w:eastAsia="仿宋_GB2312" w:cs="Times New Roman"/>
          <w:b w:val="0"/>
          <w:bCs w:val="0"/>
          <w:color w:val="auto"/>
          <w:sz w:val="30"/>
          <w:szCs w:val="30"/>
          <w:highlight w:val="none"/>
          <w:lang w:val="en-US" w:eastAsia="zh-CN"/>
        </w:rPr>
      </w:pPr>
      <w:r>
        <w:rPr>
          <w:rFonts w:hint="eastAsia" w:ascii="黑体" w:hAnsi="黑体" w:eastAsia="黑体" w:cs="黑体"/>
          <w:b w:val="0"/>
          <w:bCs/>
          <w:sz w:val="30"/>
          <w:szCs w:val="30"/>
          <w:highlight w:val="none"/>
          <w:lang w:val="en-US" w:eastAsia="zh-CN"/>
        </w:rPr>
        <w:t>第十五条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复核其他材料</w:t>
      </w:r>
      <w:r>
        <w:rPr>
          <w:rFonts w:hint="eastAsia" w:ascii="黑体" w:hAnsi="黑体" w:eastAsia="黑体" w:cs="黑体"/>
          <w:b w:val="0"/>
          <w:bCs/>
          <w:sz w:val="30"/>
          <w:szCs w:val="30"/>
          <w:highlight w:val="none"/>
          <w:lang w:eastAsia="zh-CN"/>
        </w:rPr>
        <w:t>】</w:t>
      </w:r>
      <w:r>
        <w:rPr>
          <w:rFonts w:hint="eastAsia" w:ascii="仿宋_GB2312" w:eastAsia="仿宋_GB2312"/>
          <w:sz w:val="30"/>
          <w:szCs w:val="30"/>
          <w:lang w:val="en-US" w:eastAsia="zh-CN"/>
        </w:rPr>
        <w:t>检验机构应当对</w:t>
      </w:r>
      <w:r>
        <w:rPr>
          <w:rFonts w:hint="eastAsia" w:ascii="仿宋_GB2312" w:hAnsi="Times New Roman" w:eastAsia="仿宋_GB2312" w:cs="Times New Roman"/>
          <w:b w:val="0"/>
          <w:bCs w:val="0"/>
          <w:color w:val="auto"/>
          <w:sz w:val="30"/>
          <w:szCs w:val="30"/>
          <w:highlight w:val="none"/>
          <w:lang w:val="en-US" w:eastAsia="zh-CN"/>
        </w:rPr>
        <w:t>进口制造商提供的代理委托函、境外认证证明或认证报告、制造商情况简介等资料</w:t>
      </w:r>
      <w:r>
        <w:rPr>
          <w:rFonts w:hint="eastAsia" w:ascii="仿宋_GB2312" w:eastAsia="仿宋_GB2312"/>
          <w:sz w:val="30"/>
          <w:szCs w:val="30"/>
          <w:lang w:val="en-US" w:eastAsia="zh-CN"/>
        </w:rPr>
        <w:t>进行审查</w:t>
      </w:r>
      <w:r>
        <w:rPr>
          <w:rFonts w:hint="eastAsia" w:ascii="仿宋_GB2312" w:hAnsi="Times New Roman" w:eastAsia="仿宋_GB2312" w:cs="Times New Roman"/>
          <w:b w:val="0"/>
          <w:bCs w:val="0"/>
          <w:color w:val="auto"/>
          <w:sz w:val="30"/>
          <w:szCs w:val="30"/>
          <w:highlight w:val="none"/>
          <w:lang w:val="en-US" w:eastAsia="zh-CN"/>
        </w:rPr>
        <w:t>。</w:t>
      </w:r>
    </w:p>
    <w:p>
      <w:pPr>
        <w:spacing w:line="360" w:lineRule="auto"/>
        <w:ind w:firstLine="600" w:firstLineChars="200"/>
        <w:jc w:val="both"/>
        <w:outlineLvl w:val="9"/>
        <w:rPr>
          <w:rFonts w:hint="default"/>
          <w:highlight w:val="none"/>
          <w:lang w:val="en-US" w:eastAsia="zh-CN"/>
        </w:rPr>
      </w:pPr>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十六</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一致性保证条件变更的检验</w:t>
      </w:r>
      <w:r>
        <w:rPr>
          <w:rFonts w:hint="eastAsia" w:ascii="黑体" w:hAnsi="黑体" w:eastAsia="黑体" w:cs="黑体"/>
          <w:b w:val="0"/>
          <w:bCs/>
          <w:sz w:val="30"/>
          <w:szCs w:val="30"/>
          <w:highlight w:val="none"/>
          <w:lang w:eastAsia="zh-CN"/>
        </w:rPr>
        <w:t>】</w:t>
      </w:r>
      <w:r>
        <w:rPr>
          <w:rFonts w:hint="eastAsia" w:ascii="仿宋_GB2312" w:hAnsi="Times New Roman" w:eastAsia="仿宋_GB2312" w:cs="Times New Roman"/>
          <w:b w:val="0"/>
          <w:bCs w:val="0"/>
          <w:color w:val="auto"/>
          <w:sz w:val="30"/>
          <w:szCs w:val="30"/>
          <w:highlight w:val="none"/>
          <w:lang w:val="en-US" w:eastAsia="zh-CN"/>
        </w:rPr>
        <w:t>制造商在设备通告到期前发生质量一致性保证条件变更，可同时提交质量一致性变更和质量一致性复审申请，</w:t>
      </w:r>
      <w:r>
        <w:rPr>
          <w:rFonts w:hint="eastAsia" w:ascii="仿宋_GB2312" w:hAnsi="Times New Roman" w:eastAsia="仿宋_GB2312"/>
          <w:color w:val="auto"/>
          <w:sz w:val="30"/>
          <w:szCs w:val="30"/>
          <w:highlight w:val="none"/>
          <w:lang w:val="en-US" w:eastAsia="zh-CN"/>
        </w:rPr>
        <w:t>包含但不限于以下情况：</w:t>
      </w:r>
    </w:p>
    <w:p>
      <w:pPr>
        <w:numPr>
          <w:ilvl w:val="-1"/>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lang w:val="en-US" w:eastAsia="zh-CN"/>
        </w:rPr>
      </w:pPr>
      <w:r>
        <w:rPr>
          <w:rFonts w:hint="eastAsia" w:ascii="仿宋_GB2312" w:hAnsi="Times New Roman" w:eastAsia="仿宋_GB2312"/>
          <w:color w:val="auto"/>
          <w:sz w:val="30"/>
          <w:szCs w:val="30"/>
          <w:highlight w:val="none"/>
          <w:lang w:val="en-US" w:eastAsia="zh-CN"/>
        </w:rPr>
        <w:t>（一）制造商发生生产地址变更，检验机构应当对该制造商已获通告的相关设备进行复审项目的检测，检测设备样品应当由变更后的生产地址生产。</w:t>
      </w:r>
    </w:p>
    <w:p>
      <w:pPr>
        <w:numPr>
          <w:ilvl w:val="-1"/>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lang w:val="en-US" w:eastAsia="zh-CN"/>
        </w:rPr>
      </w:pPr>
      <w:r>
        <w:rPr>
          <w:rFonts w:hint="eastAsia" w:ascii="仿宋_GB2312" w:hAnsi="Times New Roman" w:eastAsia="仿宋_GB2312"/>
          <w:color w:val="auto"/>
          <w:sz w:val="30"/>
          <w:szCs w:val="30"/>
          <w:highlight w:val="none"/>
          <w:lang w:val="en-US" w:eastAsia="zh-CN"/>
        </w:rPr>
        <w:t>（二）目视助航设备部件发生变化，检验机构可以依据实际情况判断是否需要进行全面检验。其中，样品的检测项目应当覆盖标准或检测规范中对于部件变更检测的规定。</w:t>
      </w:r>
    </w:p>
    <w:p>
      <w:pPr>
        <w:numPr>
          <w:ilvl w:val="-1"/>
          <w:numId w:val="0"/>
        </w:numPr>
        <w:spacing w:line="360" w:lineRule="auto"/>
        <w:ind w:firstLine="600" w:firstLineChars="200"/>
        <w:jc w:val="both"/>
        <w:outlineLvl w:val="1"/>
        <w:rPr>
          <w:rFonts w:hint="default"/>
          <w:highlight w:val="none"/>
        </w:rPr>
      </w:pPr>
      <w:r>
        <w:rPr>
          <w:rFonts w:hint="eastAsia" w:ascii="仿宋_GB2312" w:hAnsi="Times New Roman" w:eastAsia="仿宋_GB2312"/>
          <w:color w:val="auto"/>
          <w:sz w:val="30"/>
          <w:szCs w:val="30"/>
          <w:highlight w:val="none"/>
          <w:lang w:val="en-US" w:eastAsia="zh-CN"/>
        </w:rPr>
        <w:t>（三）质量一致性发生重大变化时，制造商应当将有关变化情况报告检验机构，并申请进行检验。检验机构应当重新对制造商进行质量一致性审核，必要时应当对机场设备样品的相关结构、部件或者系统进行检测。</w:t>
      </w:r>
    </w:p>
    <w:p>
      <w:pPr>
        <w:spacing w:before="0" w:beforeLines="0" w:after="0" w:afterLines="0" w:line="360" w:lineRule="auto"/>
        <w:jc w:val="center"/>
        <w:outlineLvl w:val="0"/>
        <w:rPr>
          <w:rFonts w:hint="eastAsia" w:ascii="黑体" w:hAnsi="黑体" w:eastAsia="黑体" w:cs="黑体"/>
          <w:b w:val="0"/>
          <w:bCs/>
          <w:sz w:val="32"/>
          <w:szCs w:val="32"/>
          <w:highlight w:val="none"/>
        </w:rPr>
      </w:pPr>
      <w:bookmarkStart w:id="10" w:name="_Toc106629570"/>
      <w:r>
        <w:rPr>
          <w:rFonts w:hint="eastAsia" w:ascii="黑体" w:hAnsi="黑体" w:eastAsia="黑体" w:cs="黑体"/>
          <w:b w:val="0"/>
          <w:bCs/>
          <w:sz w:val="32"/>
          <w:szCs w:val="32"/>
          <w:highlight w:val="none"/>
        </w:rPr>
        <w:t>第三章  专业技术人员查验</w:t>
      </w:r>
      <w:bookmarkEnd w:id="10"/>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bookmarkStart w:id="11" w:name="_Toc106629571"/>
      <w:r>
        <w:rPr>
          <w:rFonts w:hint="eastAsia" w:ascii="黑体" w:hAnsi="黑体" w:eastAsia="黑体" w:cs="黑体"/>
          <w:b w:val="0"/>
          <w:bCs/>
          <w:sz w:val="30"/>
          <w:szCs w:val="30"/>
          <w:highlight w:val="none"/>
        </w:rPr>
        <w:t>第十</w:t>
      </w:r>
      <w:r>
        <w:rPr>
          <w:rFonts w:hint="eastAsia" w:ascii="黑体" w:hAnsi="黑体" w:eastAsia="黑体" w:cs="黑体"/>
          <w:b w:val="0"/>
          <w:bCs/>
          <w:sz w:val="30"/>
          <w:szCs w:val="30"/>
          <w:highlight w:val="none"/>
          <w:lang w:val="en-US" w:eastAsia="zh-CN"/>
        </w:rPr>
        <w:t>七</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技术负责人</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w:t>
      </w:r>
      <w:r>
        <w:rPr>
          <w:rFonts w:hint="eastAsia" w:ascii="仿宋_GB2312" w:eastAsia="仿宋_GB2312"/>
          <w:sz w:val="30"/>
          <w:szCs w:val="30"/>
          <w:lang w:val="en-US" w:eastAsia="zh-CN"/>
        </w:rPr>
        <w:t>配备</w:t>
      </w:r>
      <w:r>
        <w:rPr>
          <w:rFonts w:hint="eastAsia" w:ascii="仿宋_GB2312" w:hAnsi="Times New Roman" w:eastAsia="仿宋_GB2312" w:cs="Times New Roman"/>
          <w:b w:val="0"/>
          <w:bCs w:val="0"/>
          <w:color w:val="auto"/>
          <w:sz w:val="30"/>
          <w:szCs w:val="30"/>
          <w:highlight w:val="none"/>
          <w:lang w:val="en-US" w:eastAsia="zh-CN"/>
        </w:rPr>
        <w:t>目视助航设备</w:t>
      </w:r>
      <w:r>
        <w:rPr>
          <w:rFonts w:hint="eastAsia" w:ascii="仿宋_GB2312" w:hAnsi="Times New Roman" w:eastAsia="仿宋_GB2312"/>
          <w:color w:val="auto"/>
          <w:sz w:val="30"/>
          <w:szCs w:val="30"/>
          <w:highlight w:val="none"/>
        </w:rPr>
        <w:t>技术负责人，并且明确其对设计开发、生产技术等方面的职责和权限。技术负责人应当具有充分的能力胜任本职工作，同时应当至少具备以下条件：</w:t>
      </w:r>
      <w:bookmarkEnd w:id="11"/>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具有理工类专业教育背景及目视助航设备从业经历，工程师及以上职称或硕士毕业满三年、大学本科毕业满五年、专科毕业满八年。</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bookmarkStart w:id="12" w:name="_Toc106629572"/>
      <w:r>
        <w:rPr>
          <w:rFonts w:hint="eastAsia" w:ascii="黑体" w:hAnsi="黑体" w:eastAsia="黑体" w:cs="黑体"/>
          <w:b w:val="0"/>
          <w:bCs/>
          <w:sz w:val="30"/>
          <w:szCs w:val="30"/>
          <w:highlight w:val="none"/>
        </w:rPr>
        <w:t>第十</w:t>
      </w:r>
      <w:r>
        <w:rPr>
          <w:rFonts w:hint="eastAsia" w:ascii="黑体" w:hAnsi="黑体" w:eastAsia="黑体" w:cs="黑体"/>
          <w:b w:val="0"/>
          <w:bCs/>
          <w:sz w:val="30"/>
          <w:szCs w:val="30"/>
          <w:highlight w:val="none"/>
          <w:lang w:val="en-US" w:eastAsia="zh-CN"/>
        </w:rPr>
        <w:t>八</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质量负责人</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w:t>
      </w:r>
      <w:r>
        <w:rPr>
          <w:rFonts w:hint="eastAsia" w:ascii="仿宋_GB2312" w:eastAsia="仿宋_GB2312"/>
          <w:sz w:val="30"/>
          <w:szCs w:val="30"/>
          <w:lang w:val="en-US" w:eastAsia="zh-CN"/>
        </w:rPr>
        <w:t>配备</w:t>
      </w:r>
      <w:r>
        <w:rPr>
          <w:rFonts w:hint="eastAsia" w:ascii="仿宋_GB2312" w:hAnsi="Times New Roman" w:eastAsia="仿宋_GB2312" w:cs="Times New Roman"/>
          <w:b w:val="0"/>
          <w:bCs w:val="0"/>
          <w:color w:val="auto"/>
          <w:sz w:val="30"/>
          <w:szCs w:val="30"/>
          <w:highlight w:val="none"/>
          <w:lang w:val="en-US" w:eastAsia="zh-CN"/>
        </w:rPr>
        <w:t>目视助航设备</w:t>
      </w:r>
      <w:r>
        <w:rPr>
          <w:rFonts w:hint="eastAsia" w:ascii="仿宋_GB2312" w:hAnsi="Times New Roman" w:eastAsia="仿宋_GB2312"/>
          <w:color w:val="auto"/>
          <w:sz w:val="30"/>
          <w:szCs w:val="30"/>
          <w:highlight w:val="none"/>
        </w:rPr>
        <w:t>质量负责人，并且明确其对质量保证体系的建立、实施、保持和改进的职责和权限，确保</w:t>
      </w:r>
      <w:r>
        <w:rPr>
          <w:rFonts w:hint="eastAsia" w:ascii="仿宋_GB2312" w:hAnsi="Times New Roman" w:eastAsia="仿宋_GB2312" w:cs="Times New Roman"/>
          <w:b w:val="0"/>
          <w:bCs w:val="0"/>
          <w:color w:val="auto"/>
          <w:sz w:val="30"/>
          <w:szCs w:val="30"/>
          <w:highlight w:val="none"/>
          <w:lang w:val="en-US" w:eastAsia="zh-CN"/>
        </w:rPr>
        <w:t>申请设备持续满足质量一致性保证条件</w:t>
      </w:r>
      <w:r>
        <w:rPr>
          <w:rFonts w:hint="eastAsia" w:ascii="仿宋_GB2312" w:hAnsi="Times New Roman" w:eastAsia="仿宋_GB2312"/>
          <w:color w:val="auto"/>
          <w:sz w:val="30"/>
          <w:szCs w:val="30"/>
          <w:highlight w:val="none"/>
        </w:rPr>
        <w:t>。质量负责人应当具有充分的能力胜任本职工作，同时应当至少具备以下条件：</w:t>
      </w:r>
      <w:bookmarkEnd w:id="12"/>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具有目视助航设备从业经历</w:t>
      </w:r>
      <w:r>
        <w:rPr>
          <w:rFonts w:hint="eastAsia" w:ascii="仿宋_GB2312" w:hAnsi="Times New Roman" w:eastAsia="仿宋_GB2312" w:cs="Times New Roman"/>
          <w:b w:val="0"/>
          <w:bCs w:val="0"/>
          <w:color w:val="auto"/>
          <w:sz w:val="30"/>
          <w:szCs w:val="30"/>
          <w:highlight w:val="none"/>
          <w:lang w:eastAsia="zh-CN"/>
        </w:rPr>
        <w:t>，</w:t>
      </w:r>
      <w:r>
        <w:rPr>
          <w:rFonts w:hint="eastAsia" w:ascii="仿宋_GB2312" w:hAnsi="Times New Roman" w:eastAsia="仿宋_GB2312"/>
          <w:color w:val="auto"/>
          <w:sz w:val="30"/>
          <w:szCs w:val="30"/>
          <w:highlight w:val="none"/>
        </w:rPr>
        <w:t>工程师及以上职称或硕士毕业满三年、大学本科毕业满五年、专科毕业满八年。其中从事设备制造管理工作三年及以上。</w:t>
      </w:r>
    </w:p>
    <w:p>
      <w:pPr>
        <w:autoSpaceDE/>
        <w:autoSpaceDN/>
        <w:adjustRightInd/>
        <w:snapToGrid/>
        <w:spacing w:line="360" w:lineRule="auto"/>
        <w:ind w:firstLine="600" w:firstLineChars="200"/>
        <w:jc w:val="both"/>
        <w:outlineLvl w:val="9"/>
        <w:rPr>
          <w:rFonts w:hint="eastAsia" w:ascii="仿宋_GB2312" w:hAnsi="Times New Roman" w:eastAsia="仿宋_GB2312"/>
          <w:color w:val="auto"/>
          <w:sz w:val="30"/>
          <w:szCs w:val="30"/>
          <w:highlight w:val="none"/>
        </w:rPr>
      </w:pPr>
      <w:bookmarkStart w:id="13" w:name="_Toc106629573"/>
      <w:r>
        <w:rPr>
          <w:rFonts w:hint="eastAsia" w:ascii="黑体" w:hAnsi="黑体" w:eastAsia="黑体" w:cs="黑体"/>
          <w:b w:val="0"/>
          <w:bCs/>
          <w:sz w:val="30"/>
          <w:szCs w:val="30"/>
          <w:highlight w:val="none"/>
        </w:rPr>
        <w:t>第十</w:t>
      </w:r>
      <w:r>
        <w:rPr>
          <w:rFonts w:hint="eastAsia" w:ascii="黑体" w:hAnsi="黑体" w:eastAsia="黑体" w:cs="黑体"/>
          <w:b w:val="0"/>
          <w:bCs/>
          <w:sz w:val="30"/>
          <w:szCs w:val="30"/>
          <w:highlight w:val="none"/>
          <w:lang w:val="en-US" w:eastAsia="zh-CN"/>
        </w:rPr>
        <w:t>九</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技术人员</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w:t>
      </w:r>
      <w:r>
        <w:rPr>
          <w:rFonts w:hint="eastAsia" w:ascii="仿宋_GB2312" w:eastAsia="仿宋_GB2312"/>
          <w:sz w:val="30"/>
          <w:szCs w:val="30"/>
          <w:lang w:val="en-US" w:eastAsia="zh-CN"/>
        </w:rPr>
        <w:t>配备</w:t>
      </w:r>
      <w:r>
        <w:rPr>
          <w:rFonts w:hint="eastAsia" w:ascii="仿宋_GB2312" w:hAnsi="Times New Roman" w:eastAsia="仿宋_GB2312" w:cs="Times New Roman"/>
          <w:b w:val="0"/>
          <w:bCs w:val="0"/>
          <w:color w:val="auto"/>
          <w:sz w:val="30"/>
          <w:szCs w:val="30"/>
          <w:highlight w:val="none"/>
          <w:lang w:val="en-US" w:eastAsia="zh-CN"/>
        </w:rPr>
        <w:t>目视助航设备</w:t>
      </w:r>
      <w:r>
        <w:rPr>
          <w:rFonts w:hint="eastAsia" w:ascii="仿宋_GB2312" w:hAnsi="Times New Roman" w:eastAsia="仿宋_GB2312"/>
          <w:color w:val="auto"/>
          <w:sz w:val="30"/>
          <w:szCs w:val="30"/>
          <w:highlight w:val="none"/>
        </w:rPr>
        <w:t>技术人员，技术人员应当具有充分的能力胜任本职工作，技术人员应当配备3名及以上。</w:t>
      </w:r>
      <w:bookmarkEnd w:id="13"/>
    </w:p>
    <w:p>
      <w:pPr>
        <w:autoSpaceDE/>
        <w:autoSpaceDN/>
        <w:adjustRightInd/>
        <w:snapToGrid/>
        <w:spacing w:line="360" w:lineRule="auto"/>
        <w:ind w:firstLine="600" w:firstLineChars="200"/>
        <w:jc w:val="both"/>
        <w:outlineLvl w:val="9"/>
        <w:rPr>
          <w:rFonts w:hint="eastAsia" w:ascii="仿宋_GB2312" w:hAnsi="Times New Roman" w:eastAsia="仿宋_GB2312"/>
          <w:color w:val="auto"/>
          <w:sz w:val="30"/>
          <w:szCs w:val="30"/>
          <w:highlight w:val="none"/>
        </w:rPr>
      </w:pPr>
      <w:bookmarkStart w:id="14" w:name="_Toc106629574"/>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二十</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检验人员</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w:t>
      </w:r>
      <w:r>
        <w:rPr>
          <w:rFonts w:hint="eastAsia" w:ascii="仿宋_GB2312" w:hAnsi="Times New Roman" w:eastAsia="仿宋_GB2312"/>
          <w:color w:val="auto"/>
          <w:sz w:val="30"/>
          <w:szCs w:val="30"/>
          <w:highlight w:val="none"/>
          <w:lang w:val="en-US" w:eastAsia="zh-CN"/>
        </w:rPr>
        <w:t>配备</w:t>
      </w:r>
      <w:r>
        <w:rPr>
          <w:rFonts w:hint="eastAsia" w:ascii="仿宋_GB2312" w:hAnsi="Times New Roman" w:eastAsia="仿宋_GB2312" w:cs="Times New Roman"/>
          <w:b w:val="0"/>
          <w:bCs w:val="0"/>
          <w:color w:val="auto"/>
          <w:sz w:val="30"/>
          <w:szCs w:val="30"/>
          <w:highlight w:val="none"/>
          <w:lang w:val="en-US" w:eastAsia="zh-CN"/>
        </w:rPr>
        <w:t>目视助航设备</w:t>
      </w:r>
      <w:r>
        <w:rPr>
          <w:rFonts w:hint="eastAsia" w:ascii="仿宋_GB2312" w:hAnsi="Times New Roman" w:eastAsia="仿宋_GB2312"/>
          <w:color w:val="auto"/>
          <w:sz w:val="30"/>
          <w:szCs w:val="30"/>
          <w:highlight w:val="none"/>
        </w:rPr>
        <w:t>检验人员，检验人员应当具有充分的能力胜任本职工作，检验人员应当配备2名及以上。</w:t>
      </w:r>
      <w:bookmarkEnd w:id="14"/>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bookmarkStart w:id="15" w:name="_Toc106629575"/>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二十一</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作业人员</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w:t>
      </w:r>
      <w:r>
        <w:rPr>
          <w:rFonts w:hint="eastAsia" w:ascii="仿宋_GB2312" w:hAnsi="Times New Roman" w:eastAsia="仿宋_GB2312"/>
          <w:color w:val="auto"/>
          <w:sz w:val="30"/>
          <w:szCs w:val="30"/>
          <w:highlight w:val="none"/>
          <w:lang w:val="en-US" w:eastAsia="zh-CN"/>
        </w:rPr>
        <w:t>配备</w:t>
      </w:r>
      <w:r>
        <w:rPr>
          <w:rFonts w:hint="eastAsia" w:ascii="仿宋_GB2312" w:hAnsi="Times New Roman" w:eastAsia="仿宋_GB2312"/>
          <w:color w:val="auto"/>
          <w:sz w:val="30"/>
          <w:szCs w:val="30"/>
          <w:highlight w:val="none"/>
        </w:rPr>
        <w:t>培训合格、可操作相关专用设备的作业人员，作业人员应当具有充分的能力胜任本职工作，作业人员应当配备3名及以上。不应当兼职其他专业技术人员。</w:t>
      </w:r>
      <w:bookmarkEnd w:id="15"/>
    </w:p>
    <w:p>
      <w:pPr>
        <w:numPr>
          <w:ilvl w:val="0"/>
          <w:numId w:val="0"/>
        </w:numPr>
        <w:adjustRightInd/>
        <w:snapToGrid/>
        <w:spacing w:line="360" w:lineRule="auto"/>
        <w:ind w:firstLine="600" w:firstLineChars="200"/>
        <w:jc w:val="both"/>
        <w:outlineLvl w:val="1"/>
        <w:rPr>
          <w:rFonts w:hint="eastAsia" w:ascii="仿宋_GB2312" w:hAnsi="Times New Roman" w:eastAsia="仿宋_GB2312" w:cs="Times New Roman"/>
          <w:b w:val="0"/>
          <w:bCs w:val="0"/>
          <w:color w:val="auto"/>
          <w:sz w:val="30"/>
          <w:szCs w:val="30"/>
          <w:highlight w:val="none"/>
          <w:lang w:eastAsia="zh-CN"/>
        </w:rPr>
      </w:pPr>
      <w:r>
        <w:rPr>
          <w:rFonts w:hint="eastAsia" w:ascii="仿宋_GB2312" w:hAnsi="Times New Roman" w:eastAsia="仿宋_GB2312"/>
          <w:color w:val="auto"/>
          <w:sz w:val="30"/>
          <w:szCs w:val="30"/>
          <w:highlight w:val="none"/>
        </w:rPr>
        <w:t>注</w:t>
      </w:r>
      <w:r>
        <w:rPr>
          <w:rFonts w:hint="eastAsia" w:ascii="仿宋_GB2312" w:hAnsi="Times New Roman" w:eastAsia="仿宋_GB2312" w:cs="Times New Roman"/>
          <w:b w:val="0"/>
          <w:bCs w:val="0"/>
          <w:color w:val="auto"/>
          <w:sz w:val="30"/>
          <w:szCs w:val="30"/>
          <w:highlight w:val="none"/>
          <w:lang w:val="en-US" w:eastAsia="zh-CN"/>
        </w:rPr>
        <w:t>1</w:t>
      </w:r>
      <w:r>
        <w:rPr>
          <w:rFonts w:hint="eastAsia" w:ascii="仿宋_GB2312" w:hAnsi="Times New Roman" w:eastAsia="仿宋_GB2312"/>
          <w:color w:val="auto"/>
          <w:sz w:val="30"/>
          <w:szCs w:val="30"/>
          <w:highlight w:val="none"/>
        </w:rPr>
        <w:t>：对于航空障碍灯设备制造商，应当配备作业人员5名及以上，公司总人数不少于20人（不包含管理人员）</w:t>
      </w:r>
      <w:r>
        <w:rPr>
          <w:rFonts w:hint="eastAsia" w:ascii="仿宋_GB2312" w:hAnsi="Times New Roman" w:eastAsia="仿宋_GB2312" w:cs="Times New Roman"/>
          <w:b w:val="0"/>
          <w:bCs w:val="0"/>
          <w:color w:val="auto"/>
          <w:sz w:val="30"/>
          <w:szCs w:val="30"/>
          <w:highlight w:val="none"/>
          <w:lang w:eastAsia="zh-CN"/>
        </w:rPr>
        <w:t>；</w:t>
      </w:r>
    </w:p>
    <w:p>
      <w:pPr>
        <w:numPr>
          <w:ilvl w:val="0"/>
          <w:numId w:val="0"/>
        </w:numPr>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s="Times New Roman"/>
          <w:b w:val="0"/>
          <w:bCs w:val="0"/>
          <w:color w:val="auto"/>
          <w:sz w:val="30"/>
          <w:szCs w:val="30"/>
          <w:highlight w:val="none"/>
          <w:lang w:val="en-US" w:eastAsia="zh-CN"/>
        </w:rPr>
        <w:t>注2：</w:t>
      </w:r>
      <w:r>
        <w:rPr>
          <w:rFonts w:hint="eastAsia" w:ascii="仿宋_GB2312" w:hAnsi="Times New Roman" w:eastAsia="仿宋_GB2312"/>
          <w:color w:val="auto"/>
          <w:sz w:val="30"/>
          <w:szCs w:val="30"/>
          <w:highlight w:val="none"/>
        </w:rPr>
        <w:t>上述人员应当提供近6个月的社保证明及聘用合同，且未在同类行业兼职。</w:t>
      </w:r>
    </w:p>
    <w:p>
      <w:pPr>
        <w:pStyle w:val="19"/>
        <w:spacing w:before="0" w:beforeLines="0" w:after="0" w:afterLines="0" w:line="360" w:lineRule="auto"/>
        <w:ind w:left="0" w:firstLine="0" w:firstLineChars="0"/>
        <w:jc w:val="center"/>
        <w:outlineLvl w:val="0"/>
        <w:rPr>
          <w:rFonts w:ascii="黑体" w:hAnsi="黑体" w:eastAsia="黑体"/>
          <w:sz w:val="32"/>
          <w:szCs w:val="32"/>
          <w:highlight w:val="none"/>
        </w:rPr>
      </w:pPr>
      <w:bookmarkStart w:id="16" w:name="_Toc106629576"/>
      <w:r>
        <w:rPr>
          <w:rFonts w:hint="eastAsia" w:ascii="黑体" w:hAnsi="黑体" w:eastAsia="黑体"/>
          <w:sz w:val="32"/>
          <w:szCs w:val="32"/>
          <w:highlight w:val="none"/>
        </w:rPr>
        <w:t>第四章  设备、设施、工作场所查验</w:t>
      </w:r>
      <w:bookmarkEnd w:id="16"/>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b w:val="0"/>
          <w:color w:val="auto"/>
          <w:sz w:val="30"/>
          <w:szCs w:val="30"/>
          <w:highlight w:val="none"/>
        </w:rPr>
      </w:pPr>
      <w:bookmarkStart w:id="17" w:name="_Toc106629577"/>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二十二</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设施设备</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w:t>
      </w:r>
      <w:r>
        <w:rPr>
          <w:rFonts w:hint="eastAsia" w:ascii="仿宋_GB2312" w:hAnsi="Times New Roman" w:eastAsia="仿宋_GB2312" w:cs="Times New Roman"/>
          <w:b w:val="0"/>
          <w:bCs w:val="0"/>
          <w:color w:val="auto"/>
          <w:sz w:val="30"/>
          <w:szCs w:val="30"/>
          <w:highlight w:val="none"/>
          <w:lang w:val="en-US" w:eastAsia="zh-CN"/>
        </w:rPr>
        <w:t>应当至少具备以下</w:t>
      </w:r>
      <w:r>
        <w:rPr>
          <w:rFonts w:hint="eastAsia" w:ascii="仿宋_GB2312" w:hAnsi="Times New Roman" w:eastAsia="仿宋_GB2312"/>
          <w:color w:val="auto"/>
          <w:sz w:val="30"/>
          <w:szCs w:val="30"/>
          <w:highlight w:val="none"/>
        </w:rPr>
        <w:t>设备设施</w:t>
      </w:r>
      <w:bookmarkEnd w:id="17"/>
      <w:r>
        <w:rPr>
          <w:rFonts w:hint="eastAsia" w:ascii="仿宋_GB2312" w:hAnsi="Times New Roman" w:eastAsia="仿宋_GB2312" w:cs="Times New Roman"/>
          <w:b w:val="0"/>
          <w:bCs w:val="0"/>
          <w:color w:val="auto"/>
          <w:sz w:val="30"/>
          <w:szCs w:val="30"/>
          <w:highlight w:val="none"/>
          <w:lang w:eastAsia="zh-CN"/>
        </w:rPr>
        <w:t>：</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（一）生产设备及工艺装备</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制造商应当配备并保持适宜的生产设备和工艺装备。</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注：若生产设备为租赁则需提供租赁合同（签约5年以上）。</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（二）计量、检测相关设施设备</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制造商应当配备并保持满足</w:t>
      </w:r>
      <w:r>
        <w:rPr>
          <w:rFonts w:hint="eastAsia" w:ascii="仿宋_GB2312" w:hAnsi="Times New Roman" w:eastAsia="仿宋_GB2312"/>
          <w:color w:val="auto"/>
          <w:sz w:val="30"/>
          <w:szCs w:val="30"/>
          <w:highlight w:val="none"/>
          <w:lang w:val="en-US" w:eastAsia="zh-CN"/>
        </w:rPr>
        <w:t>生产</w:t>
      </w:r>
      <w:r>
        <w:rPr>
          <w:rFonts w:hint="eastAsia" w:ascii="仿宋_GB2312" w:hAnsi="Times New Roman" w:eastAsia="仿宋_GB2312"/>
          <w:color w:val="auto"/>
          <w:sz w:val="30"/>
          <w:szCs w:val="30"/>
          <w:highlight w:val="none"/>
        </w:rPr>
        <w:t>使用要求和计量规范的检测仪器仪表和设备设施</w:t>
      </w:r>
      <w:r>
        <w:rPr>
          <w:rFonts w:hint="eastAsia" w:ascii="仿宋_GB2312" w:hAnsi="Times New Roman" w:eastAsia="仿宋_GB2312"/>
          <w:color w:val="auto"/>
          <w:sz w:val="30"/>
          <w:szCs w:val="30"/>
          <w:highlight w:val="none"/>
          <w:lang w:eastAsia="zh-CN"/>
        </w:rPr>
        <w:t>。</w:t>
      </w:r>
      <w:r>
        <w:rPr>
          <w:rFonts w:hint="eastAsia" w:ascii="仿宋_GB2312" w:hAnsi="Times New Roman" w:eastAsia="仿宋_GB2312"/>
          <w:color w:val="auto"/>
          <w:sz w:val="30"/>
          <w:szCs w:val="30"/>
          <w:highlight w:val="none"/>
          <w:lang w:val="en-US" w:eastAsia="zh-CN"/>
        </w:rPr>
        <w:t>检测设备应当满足相关标准出厂检验项目的规定</w:t>
      </w:r>
      <w:r>
        <w:rPr>
          <w:rFonts w:hint="eastAsia" w:ascii="仿宋_GB2312" w:hAnsi="Times New Roman" w:eastAsia="仿宋_GB2312"/>
          <w:color w:val="auto"/>
          <w:sz w:val="30"/>
          <w:szCs w:val="30"/>
          <w:highlight w:val="none"/>
          <w:lang w:eastAsia="zh-CN"/>
        </w:rPr>
        <w:t>。</w:t>
      </w:r>
      <w:r>
        <w:rPr>
          <w:rFonts w:hint="eastAsia" w:ascii="仿宋_GB2312" w:hAnsi="Times New Roman" w:eastAsia="仿宋_GB2312"/>
          <w:color w:val="auto"/>
          <w:sz w:val="30"/>
          <w:szCs w:val="30"/>
          <w:highlight w:val="none"/>
        </w:rPr>
        <w:t>该</w:t>
      </w:r>
      <w:r>
        <w:rPr>
          <w:rFonts w:hint="eastAsia" w:ascii="仿宋_GB2312" w:hAnsi="Times New Roman" w:eastAsia="仿宋_GB2312"/>
          <w:color w:val="auto"/>
          <w:sz w:val="30"/>
          <w:szCs w:val="30"/>
          <w:highlight w:val="none"/>
          <w:lang w:val="en-US" w:eastAsia="zh-CN"/>
        </w:rPr>
        <w:t>仪器仪表和</w:t>
      </w:r>
      <w:r>
        <w:rPr>
          <w:rFonts w:hint="eastAsia" w:ascii="仿宋_GB2312" w:hAnsi="Times New Roman" w:eastAsia="仿宋_GB2312"/>
          <w:color w:val="auto"/>
          <w:sz w:val="30"/>
          <w:szCs w:val="30"/>
          <w:highlight w:val="none"/>
        </w:rPr>
        <w:t>设备应当为制造商自有设备，应当提供设备购置合同、发票、</w:t>
      </w:r>
      <w:r>
        <w:rPr>
          <w:rFonts w:hint="eastAsia" w:ascii="仿宋_GB2312" w:hAnsi="Times New Roman" w:eastAsia="仿宋_GB2312" w:cs="Times New Roman"/>
          <w:b w:val="0"/>
          <w:bCs w:val="0"/>
          <w:color w:val="auto"/>
          <w:sz w:val="30"/>
          <w:szCs w:val="30"/>
          <w:highlight w:val="none"/>
          <w:lang w:val="en-US" w:eastAsia="zh-CN"/>
        </w:rPr>
        <w:t>或其它可证明归属为制造商的资料、</w:t>
      </w:r>
      <w:r>
        <w:rPr>
          <w:rFonts w:hint="eastAsia" w:ascii="仿宋_GB2312" w:hAnsi="Times New Roman" w:eastAsia="仿宋_GB2312"/>
          <w:color w:val="auto"/>
          <w:sz w:val="30"/>
          <w:szCs w:val="30"/>
          <w:highlight w:val="none"/>
        </w:rPr>
        <w:t>计量证书及相关文件。</w:t>
      </w:r>
    </w:p>
    <w:p>
      <w:pPr>
        <w:numPr>
          <w:ilvl w:val="0"/>
          <w:numId w:val="0"/>
        </w:numPr>
        <w:autoSpaceDE/>
        <w:autoSpaceDN/>
        <w:adjustRightInd/>
        <w:snapToGrid/>
        <w:spacing w:line="360" w:lineRule="auto"/>
        <w:ind w:firstLine="600" w:firstLineChars="200"/>
        <w:jc w:val="left"/>
        <w:outlineLvl w:val="1"/>
        <w:rPr>
          <w:rFonts w:hint="eastAsia" w:ascii="仿宋_GB2312" w:hAnsi="Times New Roman" w:eastAsia="仿宋_GB2312"/>
          <w:color w:val="auto"/>
          <w:sz w:val="30"/>
          <w:szCs w:val="30"/>
          <w:highlight w:val="none"/>
        </w:rPr>
      </w:pPr>
      <w:bookmarkStart w:id="18" w:name="_Toc106629578"/>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二十三</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工作场所</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制造商的工作场所应当</w:t>
      </w:r>
      <w:r>
        <w:rPr>
          <w:rFonts w:hint="eastAsia" w:ascii="仿宋_GB2312" w:hAnsi="Times New Roman" w:eastAsia="仿宋_GB2312"/>
          <w:color w:val="auto"/>
          <w:sz w:val="30"/>
          <w:szCs w:val="30"/>
          <w:highlight w:val="none"/>
          <w:lang w:val="en-US" w:eastAsia="zh-CN"/>
        </w:rPr>
        <w:t>不小于</w:t>
      </w:r>
      <w:r>
        <w:rPr>
          <w:rFonts w:hint="eastAsia" w:ascii="仿宋_GB2312" w:hAnsi="Times New Roman" w:eastAsia="仿宋_GB2312"/>
          <w:color w:val="auto"/>
          <w:sz w:val="30"/>
          <w:szCs w:val="30"/>
          <w:highlight w:val="none"/>
        </w:rPr>
        <w:t>1000</w:t>
      </w:r>
      <w:r>
        <w:rPr>
          <w:rFonts w:hint="eastAsia" w:ascii="仿宋_GB2312" w:hAnsi="Times New Roman" w:eastAsia="仿宋_GB2312" w:cs="Times New Roman"/>
          <w:b w:val="0"/>
          <w:bCs w:val="0"/>
          <w:color w:val="auto"/>
          <w:sz w:val="30"/>
          <w:szCs w:val="30"/>
          <w:highlight w:val="none"/>
          <w:lang w:val="en-US" w:eastAsia="zh-CN"/>
        </w:rPr>
        <w:t>m</w:t>
      </w:r>
      <w:r>
        <w:rPr>
          <w:rFonts w:hint="eastAsia" w:ascii="仿宋_GB2312" w:hAnsi="Times New Roman" w:eastAsia="仿宋_GB2312" w:cs="Times New Roman"/>
          <w:b w:val="0"/>
          <w:bCs w:val="0"/>
          <w:color w:val="auto"/>
          <w:sz w:val="30"/>
          <w:szCs w:val="30"/>
          <w:highlight w:val="none"/>
          <w:vertAlign w:val="superscript"/>
          <w:lang w:val="en-US" w:eastAsia="zh-CN"/>
        </w:rPr>
        <w:t>2</w:t>
      </w:r>
      <w:r>
        <w:rPr>
          <w:rFonts w:hint="eastAsia" w:ascii="仿宋_GB2312" w:hAnsi="Times New Roman" w:eastAsia="仿宋_GB2312"/>
          <w:color w:val="auto"/>
          <w:sz w:val="30"/>
          <w:szCs w:val="30"/>
          <w:highlight w:val="none"/>
        </w:rPr>
        <w:t>。</w:t>
      </w:r>
      <w:bookmarkEnd w:id="18"/>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注1：对于航空障碍灯设备制造商，生产场所面积</w:t>
      </w:r>
      <w:r>
        <w:rPr>
          <w:rFonts w:hint="eastAsia" w:ascii="仿宋_GB2312" w:hAnsi="Times New Roman" w:eastAsia="仿宋_GB2312"/>
          <w:color w:val="auto"/>
          <w:sz w:val="30"/>
          <w:szCs w:val="30"/>
          <w:highlight w:val="none"/>
          <w:lang w:val="en-US" w:eastAsia="zh-CN"/>
        </w:rPr>
        <w:t>宜不</w:t>
      </w:r>
      <w:r>
        <w:rPr>
          <w:rFonts w:hint="eastAsia" w:ascii="仿宋_GB2312" w:hAnsi="Times New Roman" w:eastAsia="仿宋_GB2312"/>
          <w:color w:val="auto"/>
          <w:sz w:val="30"/>
          <w:szCs w:val="30"/>
          <w:highlight w:val="none"/>
        </w:rPr>
        <w:t>小于1000m</w:t>
      </w:r>
      <w:r>
        <w:rPr>
          <w:rFonts w:hint="eastAsia" w:ascii="仿宋_GB2312" w:hAnsi="Times New Roman" w:eastAsia="仿宋_GB2312"/>
          <w:color w:val="auto"/>
          <w:sz w:val="30"/>
          <w:szCs w:val="30"/>
          <w:highlight w:val="none"/>
          <w:vertAlign w:val="superscript"/>
        </w:rPr>
        <w:t>2</w:t>
      </w:r>
      <w:r>
        <w:rPr>
          <w:rFonts w:hint="eastAsia" w:ascii="仿宋_GB2312" w:hAnsi="Times New Roman" w:eastAsia="仿宋_GB2312"/>
          <w:color w:val="auto"/>
          <w:sz w:val="30"/>
          <w:szCs w:val="30"/>
          <w:highlight w:val="none"/>
          <w:lang w:eastAsia="zh-CN"/>
        </w:rPr>
        <w:t>。</w:t>
      </w:r>
      <w:r>
        <w:rPr>
          <w:rFonts w:hint="eastAsia" w:ascii="仿宋_GB2312" w:hAnsi="Times New Roman" w:eastAsia="仿宋_GB2312"/>
          <w:color w:val="auto"/>
          <w:sz w:val="30"/>
          <w:szCs w:val="30"/>
          <w:highlight w:val="none"/>
        </w:rPr>
        <w:t>生产场所至少包含：生产车间、原材料仓库、成品仓库、检验实验室，且生产车间不小于400m</w:t>
      </w:r>
      <w:r>
        <w:rPr>
          <w:rFonts w:hint="eastAsia" w:ascii="仿宋_GB2312" w:hAnsi="Times New Roman" w:eastAsia="仿宋_GB2312"/>
          <w:color w:val="auto"/>
          <w:sz w:val="30"/>
          <w:szCs w:val="30"/>
          <w:highlight w:val="none"/>
          <w:vertAlign w:val="superscript"/>
        </w:rPr>
        <w:t>2</w:t>
      </w:r>
      <w:r>
        <w:rPr>
          <w:rFonts w:hint="eastAsia" w:ascii="仿宋_GB2312" w:hAnsi="Times New Roman" w:eastAsia="仿宋_GB2312"/>
          <w:color w:val="auto"/>
          <w:sz w:val="30"/>
          <w:szCs w:val="30"/>
          <w:highlight w:val="none"/>
        </w:rPr>
        <w:t>，原材料仓库不小于200m</w:t>
      </w:r>
      <w:r>
        <w:rPr>
          <w:rFonts w:hint="eastAsia" w:ascii="仿宋_GB2312" w:hAnsi="Times New Roman" w:eastAsia="仿宋_GB2312"/>
          <w:color w:val="auto"/>
          <w:sz w:val="30"/>
          <w:szCs w:val="30"/>
          <w:highlight w:val="none"/>
          <w:vertAlign w:val="superscript"/>
        </w:rPr>
        <w:t>2</w:t>
      </w:r>
      <w:r>
        <w:rPr>
          <w:rFonts w:hint="eastAsia" w:ascii="仿宋_GB2312" w:hAnsi="Times New Roman" w:eastAsia="仿宋_GB2312"/>
          <w:color w:val="auto"/>
          <w:sz w:val="30"/>
          <w:szCs w:val="30"/>
          <w:highlight w:val="none"/>
        </w:rPr>
        <w:t>，成品仓库不小于200m</w:t>
      </w:r>
      <w:r>
        <w:rPr>
          <w:rFonts w:hint="eastAsia" w:ascii="仿宋_GB2312" w:hAnsi="Times New Roman" w:eastAsia="仿宋_GB2312"/>
          <w:color w:val="auto"/>
          <w:sz w:val="30"/>
          <w:szCs w:val="30"/>
          <w:highlight w:val="none"/>
          <w:vertAlign w:val="superscript"/>
        </w:rPr>
        <w:t>2</w:t>
      </w:r>
      <w:r>
        <w:rPr>
          <w:rFonts w:hint="eastAsia" w:ascii="仿宋_GB2312" w:hAnsi="Times New Roman" w:eastAsia="仿宋_GB2312"/>
          <w:color w:val="auto"/>
          <w:sz w:val="30"/>
          <w:szCs w:val="30"/>
          <w:highlight w:val="none"/>
        </w:rPr>
        <w:t>，检验实验室不小于100m</w:t>
      </w:r>
      <w:r>
        <w:rPr>
          <w:rFonts w:hint="eastAsia" w:ascii="仿宋_GB2312" w:hAnsi="Times New Roman" w:eastAsia="仿宋_GB2312"/>
          <w:color w:val="auto"/>
          <w:sz w:val="30"/>
          <w:szCs w:val="30"/>
          <w:highlight w:val="none"/>
          <w:vertAlign w:val="superscript"/>
        </w:rPr>
        <w:t>2</w:t>
      </w:r>
      <w:r>
        <w:rPr>
          <w:rFonts w:hint="eastAsia" w:ascii="仿宋_GB2312" w:hAnsi="Times New Roman" w:eastAsia="仿宋_GB2312"/>
          <w:color w:val="auto"/>
          <w:sz w:val="30"/>
          <w:szCs w:val="30"/>
          <w:highlight w:val="none"/>
        </w:rPr>
        <w:t>。</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 xml:space="preserve">注2：对于需以租赁方式使用的外部资源，制造商应当确保外部资源的持续可获得性和正确使用；制造商应当保存与外部资源相关的记录，如租赁合同（签约5年以上），并且能够提供出租方的土地使用证明、房产证或者土地管理部门出具的其他有效证明等。 </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注3：条件共享。</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A. 同一单位申请不同设备种类时，许可要求的资源条件可以共享；</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B．同一单位有多处制造地址，其每一处制造地址的工作场所</w:t>
      </w:r>
      <w:r>
        <w:rPr>
          <w:rFonts w:hint="eastAsia" w:ascii="仿宋_GB2312" w:eastAsia="仿宋_GB2312"/>
          <w:color w:val="auto"/>
          <w:sz w:val="30"/>
          <w:szCs w:val="30"/>
          <w:highlight w:val="none"/>
        </w:rPr>
        <w:t>(生产场地、厂房、办公场所、仓库等)</w:t>
      </w:r>
      <w:r>
        <w:rPr>
          <w:rFonts w:hint="eastAsia" w:ascii="仿宋_GB2312" w:hAnsi="Times New Roman" w:eastAsia="仿宋_GB2312"/>
          <w:color w:val="auto"/>
          <w:sz w:val="30"/>
          <w:szCs w:val="30"/>
          <w:highlight w:val="none"/>
        </w:rPr>
        <w:t>，以及日常生产所用的生产设备、工艺装备、检测仪器、试验装置应当分别满足相应设备质量一致性条件要求，不允许与其他制造地址内的同一种类产品相应条件共享；申请单位的质量保证工程师、质量控制系统责任人员、技术人员、检验人员可以共享;</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C. 集团公司和其子公司从事相应许可活动，分别申请许可，质量一致性条件不得共享，各自建立独立的质量保证体系；</w:t>
      </w:r>
    </w:p>
    <w:p>
      <w:pPr>
        <w:numPr>
          <w:ilvl w:val="0"/>
          <w:numId w:val="0"/>
        </w:numPr>
        <w:autoSpaceDE/>
        <w:autoSpaceDN/>
        <w:adjustRightInd/>
        <w:snapToGrid/>
        <w:spacing w:line="360" w:lineRule="auto"/>
        <w:ind w:firstLine="600" w:firstLineChars="200"/>
        <w:jc w:val="both"/>
        <w:outlineLvl w:val="1"/>
        <w:rPr>
          <w:rFonts w:hint="eastAsia" w:ascii="黑体" w:hAnsi="黑体" w:eastAsia="黑体" w:cs="黑体"/>
          <w:b/>
          <w:sz w:val="30"/>
          <w:szCs w:val="30"/>
          <w:highlight w:val="none"/>
        </w:rPr>
      </w:pPr>
      <w:r>
        <w:rPr>
          <w:rFonts w:hint="eastAsia" w:ascii="仿宋_GB2312" w:hAnsi="Times New Roman" w:eastAsia="仿宋_GB2312"/>
          <w:color w:val="auto"/>
          <w:sz w:val="30"/>
          <w:szCs w:val="30"/>
          <w:highlight w:val="none"/>
        </w:rPr>
        <w:t>D. 总公司和其分公司从事相应许可活动，可以总公司的名义申请许可，也可以分别单独申请许可；总公司和其分公司分别申请许可时，质量一致性条件不得共享。</w:t>
      </w:r>
    </w:p>
    <w:p>
      <w:pPr>
        <w:pStyle w:val="19"/>
        <w:spacing w:before="0" w:beforeLines="0" w:after="0" w:afterLines="0" w:line="360" w:lineRule="auto"/>
        <w:ind w:left="0" w:firstLine="0" w:firstLineChars="0"/>
        <w:jc w:val="center"/>
        <w:outlineLvl w:val="0"/>
        <w:rPr>
          <w:rFonts w:ascii="黑体" w:hAnsi="黑体" w:eastAsia="黑体"/>
          <w:sz w:val="32"/>
          <w:szCs w:val="32"/>
          <w:highlight w:val="none"/>
        </w:rPr>
      </w:pPr>
      <w:bookmarkStart w:id="19" w:name="_Toc106629579"/>
      <w:r>
        <w:rPr>
          <w:rFonts w:hint="eastAsia" w:ascii="黑体" w:hAnsi="黑体" w:eastAsia="黑体"/>
          <w:sz w:val="32"/>
          <w:szCs w:val="32"/>
          <w:highlight w:val="none"/>
        </w:rPr>
        <w:t>第五章  制度体系评估</w:t>
      </w:r>
      <w:bookmarkEnd w:id="19"/>
    </w:p>
    <w:p>
      <w:pPr>
        <w:autoSpaceDE/>
        <w:autoSpaceDN/>
        <w:adjustRightInd/>
        <w:snapToGrid/>
        <w:spacing w:line="360" w:lineRule="auto"/>
        <w:ind w:firstLine="600" w:firstLineChars="200"/>
        <w:jc w:val="both"/>
        <w:outlineLvl w:val="9"/>
        <w:rPr>
          <w:rFonts w:hint="eastAsia" w:ascii="黑体" w:hAnsi="黑体" w:eastAsia="黑体" w:cs="黑体"/>
          <w:b w:val="0"/>
          <w:bCs/>
          <w:sz w:val="30"/>
          <w:szCs w:val="30"/>
          <w:highlight w:val="none"/>
        </w:rPr>
      </w:pPr>
      <w:bookmarkStart w:id="20" w:name="_Toc106629580"/>
      <w:r>
        <w:rPr>
          <w:rFonts w:hint="eastAsia" w:ascii="黑体" w:hAnsi="黑体" w:eastAsia="黑体" w:cs="黑体"/>
          <w:b w:val="0"/>
          <w:bCs/>
          <w:sz w:val="30"/>
          <w:szCs w:val="30"/>
          <w:highlight w:val="none"/>
        </w:rPr>
        <w:t>第二十</w:t>
      </w:r>
      <w:r>
        <w:rPr>
          <w:rFonts w:hint="eastAsia" w:ascii="黑体" w:hAnsi="黑体" w:eastAsia="黑体" w:cs="黑体"/>
          <w:b w:val="0"/>
          <w:bCs/>
          <w:sz w:val="30"/>
          <w:szCs w:val="30"/>
          <w:highlight w:val="none"/>
          <w:lang w:val="en-US" w:eastAsia="zh-CN"/>
        </w:rPr>
        <w:t>四</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管理职责</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制造商应当提供生产</w:t>
      </w:r>
      <w:r>
        <w:rPr>
          <w:rFonts w:hint="eastAsia" w:ascii="仿宋_GB2312" w:hAnsi="Times New Roman" w:eastAsia="仿宋_GB2312"/>
          <w:color w:val="auto"/>
          <w:sz w:val="30"/>
          <w:szCs w:val="30"/>
          <w:highlight w:val="none"/>
          <w:lang w:val="en-US" w:eastAsia="zh-CN"/>
        </w:rPr>
        <w:t>目视助航</w:t>
      </w:r>
      <w:r>
        <w:rPr>
          <w:rFonts w:hint="eastAsia" w:ascii="仿宋_GB2312" w:hAnsi="Times New Roman" w:eastAsia="仿宋_GB2312"/>
          <w:color w:val="auto"/>
          <w:sz w:val="30"/>
          <w:szCs w:val="30"/>
          <w:highlight w:val="none"/>
        </w:rPr>
        <w:t>设备所需的质量保证体系组织机构图和相关责任人员的职责及权限说明，应当提供质量保证体系有效实施质量控制活动的证明或文件记录。最高管理者应当对管理体系的有效性负责，并确保制订管理体系的质量方针和目标，与组织环境相适应。</w:t>
      </w:r>
      <w:bookmarkEnd w:id="20"/>
    </w:p>
    <w:p>
      <w:pPr>
        <w:autoSpaceDE/>
        <w:autoSpaceDN/>
        <w:adjustRightInd/>
        <w:snapToGrid/>
        <w:spacing w:line="360" w:lineRule="auto"/>
        <w:ind w:firstLine="600" w:firstLineChars="200"/>
        <w:jc w:val="both"/>
        <w:outlineLvl w:val="9"/>
        <w:rPr>
          <w:rFonts w:hint="eastAsia" w:ascii="仿宋_GB2312" w:hAnsi="Times New Roman" w:eastAsia="仿宋_GB2312"/>
          <w:color w:val="auto"/>
          <w:sz w:val="30"/>
          <w:szCs w:val="30"/>
          <w:highlight w:val="none"/>
        </w:rPr>
      </w:pPr>
      <w:bookmarkStart w:id="21" w:name="_Toc106629581"/>
      <w:r>
        <w:rPr>
          <w:rFonts w:hint="eastAsia" w:ascii="黑体" w:hAnsi="黑体" w:eastAsia="黑体" w:cs="黑体"/>
          <w:b w:val="0"/>
          <w:bCs/>
          <w:sz w:val="30"/>
          <w:szCs w:val="30"/>
          <w:highlight w:val="none"/>
        </w:rPr>
        <w:t>第二十</w:t>
      </w:r>
      <w:r>
        <w:rPr>
          <w:rFonts w:hint="eastAsia" w:ascii="黑体" w:hAnsi="黑体" w:eastAsia="黑体" w:cs="黑体"/>
          <w:b w:val="0"/>
          <w:bCs/>
          <w:sz w:val="30"/>
          <w:szCs w:val="30"/>
          <w:highlight w:val="none"/>
          <w:lang w:val="en-US" w:eastAsia="zh-CN"/>
        </w:rPr>
        <w:t>五</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体系文件</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制造商提供的质量保证体系文件和相关资料应当能有效指导生产。体系文件应当覆盖检验办法规定的内容，应当由最高管理者或其授权签字人批准。</w:t>
      </w:r>
      <w:bookmarkEnd w:id="21"/>
    </w:p>
    <w:p>
      <w:pPr>
        <w:autoSpaceDE/>
        <w:autoSpaceDN/>
        <w:adjustRightInd/>
        <w:snapToGrid/>
        <w:spacing w:line="360" w:lineRule="auto"/>
        <w:ind w:firstLine="600" w:firstLineChars="200"/>
        <w:jc w:val="both"/>
        <w:outlineLvl w:val="9"/>
        <w:rPr>
          <w:rFonts w:hint="eastAsia" w:ascii="仿宋_GB2312" w:hAnsi="Times New Roman" w:eastAsia="仿宋_GB2312"/>
          <w:color w:val="auto"/>
          <w:sz w:val="30"/>
          <w:szCs w:val="30"/>
          <w:highlight w:val="none"/>
        </w:rPr>
      </w:pPr>
      <w:bookmarkStart w:id="22" w:name="_Toc106629582"/>
      <w:r>
        <w:rPr>
          <w:rFonts w:hint="eastAsia" w:ascii="黑体" w:hAnsi="黑体" w:eastAsia="黑体" w:cs="黑体"/>
          <w:b w:val="0"/>
          <w:bCs/>
          <w:sz w:val="30"/>
          <w:szCs w:val="30"/>
          <w:highlight w:val="none"/>
        </w:rPr>
        <w:t>第二十</w:t>
      </w:r>
      <w:r>
        <w:rPr>
          <w:rFonts w:hint="eastAsia" w:ascii="黑体" w:hAnsi="黑体" w:eastAsia="黑体" w:cs="黑体"/>
          <w:b w:val="0"/>
          <w:bCs/>
          <w:sz w:val="30"/>
          <w:szCs w:val="30"/>
          <w:highlight w:val="none"/>
          <w:lang w:val="en-US" w:eastAsia="zh-CN"/>
        </w:rPr>
        <w:t>六</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文件和记录控制</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制造商应当提供文件和记录的控制程序和相关资料，文件和记录应当按照文件和记录的控制程序进行管理，确保对质量一致性要求的文件、必要的外来文件和记录进行有效控制。</w:t>
      </w:r>
      <w:bookmarkEnd w:id="22"/>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注：与设备质量一致性直接相关的文件和记录的更改应当按规定履行审批手续，提供记录证实，并确保其适宜性与充分性，应当从作业场所收回作废文件，以防误用或混淆。</w:t>
      </w:r>
    </w:p>
    <w:p>
      <w:pPr>
        <w:autoSpaceDE/>
        <w:autoSpaceDN/>
        <w:adjustRightInd/>
        <w:snapToGrid/>
        <w:spacing w:line="360" w:lineRule="auto"/>
        <w:ind w:firstLine="600" w:firstLineChars="200"/>
        <w:jc w:val="both"/>
        <w:outlineLvl w:val="9"/>
        <w:rPr>
          <w:rFonts w:hint="eastAsia" w:ascii="黑体" w:hAnsi="黑体" w:eastAsia="黑体" w:cs="黑体"/>
          <w:b w:val="0"/>
          <w:bCs/>
          <w:sz w:val="30"/>
          <w:szCs w:val="30"/>
          <w:highlight w:val="none"/>
        </w:rPr>
      </w:pPr>
      <w:bookmarkStart w:id="23" w:name="_Toc106629583"/>
      <w:r>
        <w:rPr>
          <w:rFonts w:hint="eastAsia" w:ascii="黑体" w:hAnsi="黑体" w:eastAsia="黑体" w:cs="黑体"/>
          <w:b w:val="0"/>
          <w:bCs/>
          <w:sz w:val="30"/>
          <w:szCs w:val="30"/>
          <w:highlight w:val="none"/>
        </w:rPr>
        <w:t>第二十</w:t>
      </w:r>
      <w:r>
        <w:rPr>
          <w:rFonts w:hint="eastAsia" w:ascii="黑体" w:hAnsi="黑体" w:eastAsia="黑体" w:cs="黑体"/>
          <w:b w:val="0"/>
          <w:bCs/>
          <w:sz w:val="30"/>
          <w:szCs w:val="30"/>
          <w:highlight w:val="none"/>
          <w:lang w:val="en-US" w:eastAsia="zh-CN"/>
        </w:rPr>
        <w:t>七</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设计控制</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制造商应当提供设计控制程序文件和相应资料，确保其按照程序文件执行。</w:t>
      </w:r>
      <w:bookmarkEnd w:id="23"/>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注：制造商应当确保申请</w:t>
      </w:r>
      <w:r>
        <w:rPr>
          <w:rFonts w:hint="eastAsia" w:ascii="仿宋_GB2312" w:hAnsi="Times New Roman" w:eastAsia="仿宋_GB2312" w:cs="Times New Roman"/>
          <w:b w:val="0"/>
          <w:bCs w:val="0"/>
          <w:color w:val="auto"/>
          <w:sz w:val="30"/>
          <w:szCs w:val="30"/>
          <w:highlight w:val="none"/>
          <w:lang w:val="en-US" w:eastAsia="zh-CN"/>
        </w:rPr>
        <w:t>目视助航</w:t>
      </w:r>
      <w:r>
        <w:rPr>
          <w:rFonts w:hint="eastAsia" w:ascii="仿宋_GB2312" w:hAnsi="Times New Roman" w:eastAsia="仿宋_GB2312"/>
          <w:color w:val="auto"/>
          <w:sz w:val="30"/>
          <w:szCs w:val="30"/>
          <w:highlight w:val="none"/>
        </w:rPr>
        <w:t>设备的设计输入和设计输出文件的完整性和存档图纸的一致性，且文件状态标识应当清晰完整。设计变更应当按照质量一致性规定的程序执行，并有相应的文件和记录证明。</w:t>
      </w:r>
    </w:p>
    <w:p>
      <w:pPr>
        <w:autoSpaceDE/>
        <w:autoSpaceDN/>
        <w:adjustRightInd/>
        <w:snapToGrid/>
        <w:spacing w:line="360" w:lineRule="auto"/>
        <w:ind w:firstLine="600" w:firstLineChars="200"/>
        <w:jc w:val="both"/>
        <w:outlineLvl w:val="9"/>
        <w:rPr>
          <w:rFonts w:hint="eastAsia" w:ascii="仿宋_GB2312" w:hAnsi="Times New Roman" w:eastAsia="仿宋_GB2312"/>
          <w:color w:val="auto"/>
          <w:sz w:val="30"/>
          <w:szCs w:val="30"/>
          <w:highlight w:val="none"/>
        </w:rPr>
      </w:pPr>
      <w:bookmarkStart w:id="24" w:name="_Toc106629584"/>
      <w:r>
        <w:rPr>
          <w:rFonts w:hint="eastAsia" w:ascii="黑体" w:hAnsi="黑体" w:eastAsia="黑体" w:cs="黑体"/>
          <w:b w:val="0"/>
          <w:bCs/>
          <w:sz w:val="30"/>
          <w:szCs w:val="30"/>
          <w:highlight w:val="none"/>
        </w:rPr>
        <w:t>第二十</w:t>
      </w:r>
      <w:r>
        <w:rPr>
          <w:rFonts w:hint="eastAsia" w:ascii="黑体" w:hAnsi="黑体" w:eastAsia="黑体" w:cs="黑体"/>
          <w:b w:val="0"/>
          <w:bCs/>
          <w:sz w:val="30"/>
          <w:szCs w:val="30"/>
          <w:highlight w:val="none"/>
          <w:lang w:val="en-US" w:eastAsia="zh-CN"/>
        </w:rPr>
        <w:t>八</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材料与零部件控制</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制造商应当提供材料、零部件控制程序文件和相关材料，确保其按照控制程序进行管理。制造商</w:t>
      </w:r>
      <w:r>
        <w:rPr>
          <w:rFonts w:hint="eastAsia" w:ascii="仿宋_GB2312" w:hAnsi="Times New Roman" w:eastAsia="仿宋_GB2312" w:cs="Times New Roman"/>
          <w:b w:val="0"/>
          <w:bCs w:val="0"/>
          <w:color w:val="auto"/>
          <w:sz w:val="30"/>
          <w:szCs w:val="30"/>
          <w:highlight w:val="none"/>
          <w:lang w:val="en-US" w:eastAsia="zh-CN"/>
        </w:rPr>
        <w:t>应当提供与备案信息一致的关键零部件清单、图纸图号清单，</w:t>
      </w:r>
      <w:r>
        <w:rPr>
          <w:rFonts w:hint="eastAsia" w:ascii="仿宋_GB2312" w:hAnsi="Times New Roman" w:eastAsia="仿宋_GB2312"/>
          <w:color w:val="auto"/>
          <w:sz w:val="30"/>
          <w:szCs w:val="30"/>
          <w:highlight w:val="none"/>
        </w:rPr>
        <w:t>关键零部件的外购、外协件应当经合格供应商评审，且能提供完整的评审及合格供应商评价记录后，经授权人审批后纳入年度合格供应商名单。</w:t>
      </w:r>
      <w:bookmarkEnd w:id="24"/>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采购工作应当按规定程序进行，应当提供采购计划、采购合同以证实关键和重要的外购、外协件在规定的合格供应商处实施采购；材料、零部件的采购、验收及存储管理等控制要求满足程序规定。</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采购的关键零部件名称、型号、供应商应当与最新型式试验合格报告的样品使用的部件一致。</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关键零部件应当覆盖相应检测规范中的规定，检测规范中没有规定的，从直接影响主要检测项目结果的直接零部件中确定关键零部件，例如：光源、透光部件、反射部件、控制电源、防护部件等。</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关键零部件的委外加工（如灯罩、驱动电路等）应当纳入合格供方管理，应当签订委托加工协议，并提出技术/工艺要求的支持性文件。</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bookmarkStart w:id="25" w:name="_Toc106629585"/>
      <w:r>
        <w:rPr>
          <w:rFonts w:hint="eastAsia" w:ascii="黑体" w:hAnsi="黑体" w:eastAsia="黑体" w:cs="黑体"/>
          <w:b w:val="0"/>
          <w:bCs/>
          <w:sz w:val="30"/>
          <w:szCs w:val="30"/>
          <w:highlight w:val="none"/>
        </w:rPr>
        <w:t>第二十</w:t>
      </w:r>
      <w:r>
        <w:rPr>
          <w:rFonts w:hint="eastAsia" w:ascii="黑体" w:hAnsi="黑体" w:eastAsia="黑体" w:cs="黑体"/>
          <w:b w:val="0"/>
          <w:bCs/>
          <w:sz w:val="30"/>
          <w:szCs w:val="30"/>
          <w:highlight w:val="none"/>
          <w:lang w:val="en-US" w:eastAsia="zh-CN"/>
        </w:rPr>
        <w:t>九</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作业（工艺）控制</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制造商应当提供工艺和工装模具控制程序文件和相关资料，作业（工艺）文件和工装模具的管理应当按照控制程序执行。</w:t>
      </w:r>
      <w:bookmarkEnd w:id="25"/>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作业（工艺）文件和生产过程质量控制文件应当与设计开发的输出一致。不一致的修改应当不影响产品一致性的相关要求。</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生产过程控制应当形成记录，建立追溯流程。追溯流程应当实现从最终用户处的产品标识追溯到产品放行、各个生产过程、材料及供应商。</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工艺过程结果不能直接判定质量状况或不能用经济的方式判定质量状况的工序，应当确定为特殊过程（例如标记牌贴膜）。应当定期进行过程能力确认，保留记录。</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工艺文件应当具备统一性、完整性和正确性，保持相关工艺的稳定。制造商应当提供与生产相适应的作业工艺文件和工装模具（如焊接和装配等），相应工艺文件中应当能包含技术和验收要求，作业人员应当能熟练掌握工艺文件要求。</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bookmarkStart w:id="26" w:name="_Toc106629586"/>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三十</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检验与试验控制</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制造商应当提供检验与试验控制程序文件和相关资料，确保其按照控制程序执行。</w:t>
      </w:r>
      <w:bookmarkEnd w:id="26"/>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（一）最终检验与试验控制</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制造商应当提供目视助航设备的装配档案，审查出厂检验记录、报告，应当符合相关检验规定，检验与试验结论满足相关标准的规定。</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（二）过程检验控制</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制造商应当保证过程检验的可追溯性。</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（三）检验与试验记录、报告</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检验与试验记录、报告项目齐全、规范统一，检验与试验数据和结论应当符合相关标准规定；检验与试验记录、报告应当按照相关规定进行审核、批准，统一存档保管。</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bookmarkStart w:id="27" w:name="_Toc106629587"/>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三十一</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设备和计量、检测器具控制</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提供设备和计量、检测器具控制程序文件和相关资料（含台帐、档案等），确保设备和计量、检测仪器应当符合国家的相关法规要求并与程序文件管理一致，根据目视助航设备制造商资源条件，应当符合以下要求：</w:t>
      </w:r>
      <w:bookmarkEnd w:id="27"/>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（一）设备和计量、检测器具台帐、档案应当规范、完整齐全，与实物一致，并妥善保管；</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（二）设备和计量、检测器具应当按校准计划进行检定或校准，有相应的校准记录、报告；</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（三）应当按照相关规定，对设备和计量、检测器具进行维修保养，有相应记录。</w:t>
      </w:r>
    </w:p>
    <w:p>
      <w:pPr>
        <w:numPr>
          <w:ilvl w:val="0"/>
          <w:numId w:val="0"/>
        </w:numPr>
        <w:autoSpaceDE/>
        <w:autoSpaceDN/>
        <w:adjustRightInd/>
        <w:snapToGrid/>
        <w:spacing w:line="360" w:lineRule="auto"/>
        <w:ind w:firstLine="600" w:firstLineChars="200"/>
        <w:jc w:val="both"/>
        <w:outlineLvl w:val="1"/>
        <w:rPr>
          <w:rFonts w:hint="eastAsia" w:ascii="黑体" w:hAnsi="黑体" w:eastAsia="黑体" w:cs="黑体"/>
          <w:b w:val="0"/>
          <w:bCs/>
          <w:sz w:val="30"/>
          <w:szCs w:val="30"/>
          <w:highlight w:val="none"/>
        </w:rPr>
      </w:pPr>
      <w:r>
        <w:rPr>
          <w:rFonts w:hint="eastAsia" w:ascii="仿宋_GB2312" w:hAnsi="Times New Roman" w:eastAsia="仿宋_GB2312"/>
          <w:color w:val="auto"/>
          <w:sz w:val="30"/>
          <w:szCs w:val="30"/>
          <w:highlight w:val="none"/>
        </w:rPr>
        <w:t>（四）设备和计量、检测器具状态标识应当符合相关规定。</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bookmarkStart w:id="28" w:name="_Toc106629588"/>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三十二</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不符合品（项）控制</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提供不合格品（项）控制程序文件及其相关资料，确保不合格品（项）按照控制程序执行。根据抽查设备质量档案和现场巡视，追踪不合格品（项）报告及相关资料，审查不合格品（项）控制应当符合以下要求：</w:t>
      </w:r>
      <w:bookmarkEnd w:id="28"/>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（1）不合格品的记录、标识、存放、隔离应当符合质量体系文件规定；</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（2）应当对不合格品（项）进行原因分析，按规定程序进行处置；</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（3）不合格品（项）处置后应当进行检验；</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（4）纠正措施的制定、审核、批准、实施及其跟踪验证应当符合规定程序的要求，纠正措施合理、有效。</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bookmarkStart w:id="29" w:name="_Toc106629589"/>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三十三</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质量改进和服务</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制造商应当拥有一定作业素质、高时效的售后服务队伍，并提供质量改进与服务控制程序文件及其相关资料，确保质量改进与服务按照控制程序执行。</w:t>
      </w:r>
      <w:bookmarkEnd w:id="29"/>
    </w:p>
    <w:p>
      <w:pPr>
        <w:numPr>
          <w:ilvl w:val="0"/>
          <w:numId w:val="0"/>
        </w:numPr>
        <w:autoSpaceDE/>
        <w:autoSpaceDN/>
        <w:adjustRightInd/>
        <w:snapToGrid/>
        <w:spacing w:line="360" w:lineRule="auto"/>
        <w:ind w:firstLine="600" w:firstLineChars="200"/>
        <w:jc w:val="both"/>
        <w:outlineLvl w:val="1"/>
        <w:rPr>
          <w:rFonts w:hint="eastAsia" w:ascii="黑体" w:hAnsi="黑体" w:eastAsia="黑体" w:cs="黑体"/>
          <w:b w:val="0"/>
          <w:bCs/>
          <w:sz w:val="30"/>
          <w:szCs w:val="30"/>
          <w:highlight w:val="none"/>
        </w:rPr>
      </w:pPr>
      <w:r>
        <w:rPr>
          <w:rFonts w:hint="eastAsia" w:ascii="仿宋_GB2312" w:hAnsi="Times New Roman" w:eastAsia="仿宋_GB2312"/>
          <w:color w:val="auto"/>
          <w:sz w:val="30"/>
          <w:szCs w:val="30"/>
          <w:highlight w:val="none"/>
        </w:rPr>
        <w:t>目视助航设备制造商应当提供</w:t>
      </w:r>
      <w:r>
        <w:rPr>
          <w:rFonts w:hint="eastAsia" w:ascii="仿宋_GB2312" w:hAnsi="Times New Roman" w:eastAsia="仿宋_GB2312"/>
          <w:color w:val="auto"/>
          <w:sz w:val="30"/>
          <w:szCs w:val="30"/>
          <w:highlight w:val="none"/>
          <w:lang w:val="en-US" w:eastAsia="zh-CN"/>
        </w:rPr>
        <w:t>两</w:t>
      </w:r>
      <w:r>
        <w:rPr>
          <w:rFonts w:hint="eastAsia" w:ascii="仿宋_GB2312" w:hAnsi="Times New Roman" w:eastAsia="仿宋_GB2312"/>
          <w:color w:val="auto"/>
          <w:sz w:val="30"/>
          <w:szCs w:val="30"/>
          <w:highlight w:val="none"/>
        </w:rPr>
        <w:t>年中，内外部收集、汇总、分析、反馈、处理的质量信息；应当提供内审、管评的完整记录或资料。尤其是用户的投诉或抱怨以及处理的记录或结果证明，应当定期对用户意见及满意情况进行统计与分析，并制定改进建议。</w:t>
      </w:r>
    </w:p>
    <w:p>
      <w:pPr>
        <w:autoSpaceDE/>
        <w:autoSpaceDN/>
        <w:adjustRightInd/>
        <w:snapToGrid/>
        <w:spacing w:line="360" w:lineRule="auto"/>
        <w:ind w:firstLine="600" w:firstLineChars="200"/>
        <w:jc w:val="both"/>
        <w:outlineLvl w:val="9"/>
        <w:rPr>
          <w:rFonts w:hint="eastAsia" w:ascii="仿宋_GB2312" w:hAnsi="Times New Roman" w:eastAsia="仿宋_GB2312"/>
          <w:b w:val="0"/>
          <w:color w:val="auto"/>
          <w:sz w:val="30"/>
          <w:szCs w:val="30"/>
          <w:highlight w:val="none"/>
        </w:rPr>
      </w:pPr>
      <w:bookmarkStart w:id="30" w:name="_Toc106629590"/>
      <w:r>
        <w:rPr>
          <w:rFonts w:hint="eastAsia" w:ascii="黑体" w:hAnsi="黑体" w:eastAsia="黑体" w:cs="黑体"/>
          <w:b w:val="0"/>
          <w:bCs/>
          <w:sz w:val="30"/>
          <w:szCs w:val="30"/>
          <w:highlight w:val="none"/>
        </w:rPr>
        <w:t>第三十</w:t>
      </w:r>
      <w:r>
        <w:rPr>
          <w:rFonts w:hint="eastAsia" w:ascii="黑体" w:hAnsi="黑体" w:eastAsia="黑体" w:cs="黑体"/>
          <w:b w:val="0"/>
          <w:bCs/>
          <w:sz w:val="30"/>
          <w:szCs w:val="30"/>
          <w:highlight w:val="none"/>
          <w:lang w:val="en-US" w:eastAsia="zh-CN"/>
        </w:rPr>
        <w:t>四</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一致性控制</w:t>
      </w:r>
      <w:r>
        <w:rPr>
          <w:rFonts w:hint="eastAsia" w:ascii="黑体" w:hAnsi="黑体" w:eastAsia="黑体" w:cs="黑体"/>
          <w:b w:val="0"/>
          <w:bCs/>
          <w:sz w:val="30"/>
          <w:szCs w:val="30"/>
          <w:highlight w:val="none"/>
          <w:lang w:eastAsia="zh-CN"/>
        </w:rPr>
        <w:t>】</w:t>
      </w:r>
      <w:r>
        <w:rPr>
          <w:rFonts w:hint="eastAsia" w:ascii="仿宋_GB2312" w:hAnsi="Times New Roman" w:eastAsia="仿宋_GB2312"/>
          <w:b w:val="0"/>
          <w:color w:val="auto"/>
          <w:sz w:val="30"/>
          <w:szCs w:val="30"/>
          <w:highlight w:val="none"/>
        </w:rPr>
        <w:t>制造商应当按照法规规定及内部一致性程序文件规定实施</w:t>
      </w:r>
      <w:r>
        <w:rPr>
          <w:rFonts w:hint="eastAsia" w:ascii="仿宋_GB2312" w:hAnsi="Times New Roman" w:eastAsia="仿宋_GB2312"/>
          <w:b w:val="0"/>
          <w:color w:val="auto"/>
          <w:sz w:val="30"/>
          <w:szCs w:val="30"/>
          <w:highlight w:val="none"/>
          <w:lang w:val="en-US" w:eastAsia="zh-CN"/>
        </w:rPr>
        <w:t>目视助航设备</w:t>
      </w:r>
      <w:r>
        <w:rPr>
          <w:rFonts w:hint="eastAsia" w:ascii="仿宋_GB2312" w:hAnsi="Times New Roman" w:eastAsia="仿宋_GB2312"/>
          <w:b w:val="0"/>
          <w:color w:val="auto"/>
          <w:sz w:val="30"/>
          <w:szCs w:val="30"/>
          <w:highlight w:val="none"/>
        </w:rPr>
        <w:t>的质量一致性控制，保证申请设备持续符合规定的要求。</w:t>
      </w:r>
    </w:p>
    <w:p>
      <w:pPr>
        <w:autoSpaceDE/>
        <w:autoSpaceDN/>
        <w:adjustRightInd/>
        <w:snapToGrid/>
        <w:spacing w:line="360" w:lineRule="auto"/>
        <w:ind w:firstLine="600" w:firstLineChars="200"/>
        <w:jc w:val="both"/>
        <w:outlineLvl w:val="9"/>
        <w:rPr>
          <w:rFonts w:hint="default" w:ascii="黑体" w:hAnsi="黑体" w:eastAsia="仿宋_GB2312" w:cs="黑体"/>
          <w:b w:val="0"/>
          <w:bCs/>
          <w:sz w:val="30"/>
          <w:szCs w:val="30"/>
          <w:highlight w:val="none"/>
          <w:lang w:val="en-US" w:eastAsia="zh-CN"/>
        </w:rPr>
      </w:pPr>
      <w:r>
        <w:rPr>
          <w:rFonts w:hint="eastAsia" w:ascii="仿宋_GB2312" w:hAnsi="Times New Roman" w:eastAsia="仿宋_GB2312"/>
          <w:color w:val="auto"/>
          <w:sz w:val="30"/>
          <w:szCs w:val="30"/>
          <w:highlight w:val="none"/>
        </w:rPr>
        <w:t>制造商应当提供一致性控制文件以及相关资料。</w:t>
      </w:r>
      <w:bookmarkEnd w:id="30"/>
      <w:r>
        <w:rPr>
          <w:rFonts w:hint="eastAsia" w:ascii="仿宋_GB2312" w:hAnsi="Times New Roman" w:eastAsia="仿宋_GB2312"/>
          <w:color w:val="auto"/>
          <w:sz w:val="30"/>
          <w:szCs w:val="30"/>
          <w:highlight w:val="none"/>
          <w:lang w:val="en-US" w:eastAsia="zh-CN"/>
        </w:rPr>
        <w:t>若一致性控制文件及其相关资料在上一次审核至本次审核周期内有修改，应当提供相应的更改记录。</w:t>
      </w:r>
    </w:p>
    <w:p>
      <w:pPr>
        <w:autoSpaceDE/>
        <w:autoSpaceDN/>
        <w:adjustRightInd/>
        <w:snapToGrid/>
        <w:spacing w:line="360" w:lineRule="auto"/>
        <w:ind w:firstLine="600" w:firstLineChars="200"/>
        <w:jc w:val="both"/>
        <w:outlineLvl w:val="9"/>
        <w:rPr>
          <w:rFonts w:hint="eastAsia" w:ascii="仿宋_GB2312" w:hAnsi="Times New Roman" w:eastAsia="仿宋_GB2312" w:cs="Times New Roman"/>
          <w:b w:val="0"/>
          <w:bCs w:val="0"/>
          <w:color w:val="auto"/>
          <w:sz w:val="30"/>
          <w:szCs w:val="30"/>
          <w:highlight w:val="none"/>
        </w:rPr>
      </w:pPr>
      <w:bookmarkStart w:id="31" w:name="_Toc106629592"/>
      <w:r>
        <w:rPr>
          <w:rFonts w:hint="eastAsia" w:ascii="黑体" w:hAnsi="黑体" w:eastAsia="黑体" w:cs="黑体"/>
          <w:b w:val="0"/>
          <w:bCs/>
          <w:sz w:val="30"/>
          <w:szCs w:val="30"/>
          <w:highlight w:val="none"/>
        </w:rPr>
        <w:t>第三十</w:t>
      </w:r>
      <w:r>
        <w:rPr>
          <w:rFonts w:hint="eastAsia" w:ascii="黑体" w:hAnsi="黑体" w:eastAsia="黑体" w:cs="黑体"/>
          <w:b w:val="0"/>
          <w:bCs/>
          <w:sz w:val="30"/>
          <w:szCs w:val="30"/>
          <w:highlight w:val="none"/>
          <w:lang w:val="en-US" w:eastAsia="zh-CN"/>
        </w:rPr>
        <w:t>五</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变更控制</w:t>
      </w:r>
      <w:r>
        <w:rPr>
          <w:rFonts w:hint="eastAsia" w:ascii="黑体" w:hAnsi="黑体" w:eastAsia="黑体" w:cs="黑体"/>
          <w:b w:val="0"/>
          <w:bCs/>
          <w:sz w:val="30"/>
          <w:szCs w:val="30"/>
          <w:highlight w:val="none"/>
          <w:lang w:eastAsia="zh-CN"/>
        </w:rPr>
        <w:t>】</w:t>
      </w:r>
      <w:r>
        <w:rPr>
          <w:rFonts w:hint="eastAsia" w:ascii="仿宋_GB2312" w:hAnsi="Times New Roman" w:eastAsia="仿宋_GB2312" w:cs="Times New Roman"/>
          <w:b w:val="0"/>
          <w:bCs w:val="0"/>
          <w:color w:val="auto"/>
          <w:sz w:val="30"/>
          <w:szCs w:val="30"/>
          <w:highlight w:val="none"/>
        </w:rPr>
        <w:t>制造商应当按照法规规定及内部变更程序文件规定实施变更的控制与管理，并保留相关资料和记录。</w:t>
      </w:r>
    </w:p>
    <w:p>
      <w:pPr>
        <w:autoSpaceDE/>
        <w:autoSpaceDN/>
        <w:adjustRightInd/>
        <w:snapToGrid/>
        <w:spacing w:line="360" w:lineRule="auto"/>
        <w:ind w:firstLine="600" w:firstLineChars="200"/>
        <w:jc w:val="both"/>
        <w:outlineLvl w:val="9"/>
        <w:rPr>
          <w:rFonts w:hint="eastAsia" w:ascii="仿宋_GB2312" w:hAnsi="Times New Roman" w:eastAsia="仿宋_GB2312"/>
          <w:color w:val="auto"/>
          <w:sz w:val="30"/>
          <w:szCs w:val="30"/>
          <w:highlight w:val="none"/>
          <w:lang w:val="en-US" w:eastAsia="zh-CN"/>
        </w:rPr>
      </w:pPr>
      <w:r>
        <w:rPr>
          <w:rFonts w:hint="eastAsia" w:ascii="仿宋_GB2312" w:hAnsi="Times New Roman" w:eastAsia="仿宋_GB2312" w:cs="Times New Roman"/>
          <w:b w:val="0"/>
          <w:bCs w:val="0"/>
          <w:color w:val="auto"/>
          <w:sz w:val="30"/>
          <w:szCs w:val="30"/>
          <w:highlight w:val="none"/>
        </w:rPr>
        <w:t>制造商应当提供</w:t>
      </w:r>
      <w:r>
        <w:rPr>
          <w:rFonts w:hint="eastAsia" w:ascii="仿宋_GB2312" w:hAnsi="Times New Roman" w:eastAsia="仿宋_GB2312"/>
          <w:color w:val="auto"/>
          <w:sz w:val="30"/>
          <w:szCs w:val="30"/>
          <w:highlight w:val="none"/>
          <w:lang w:val="en-US" w:eastAsia="zh-CN"/>
        </w:rPr>
        <w:t>该设备上一次审核至本次审核周期内</w:t>
      </w:r>
      <w:r>
        <w:rPr>
          <w:rFonts w:hint="eastAsia" w:ascii="仿宋_GB2312" w:hAnsi="Times New Roman" w:eastAsia="仿宋_GB2312" w:cs="Times New Roman"/>
          <w:b w:val="0"/>
          <w:bCs w:val="0"/>
          <w:color w:val="auto"/>
          <w:sz w:val="30"/>
          <w:szCs w:val="30"/>
          <w:highlight w:val="none"/>
        </w:rPr>
        <w:t>变更控制文件</w:t>
      </w:r>
      <w:r>
        <w:rPr>
          <w:rFonts w:hint="eastAsia" w:ascii="仿宋_GB2312" w:hAnsi="Times New Roman" w:eastAsia="仿宋_GB2312" w:cs="Times New Roman"/>
          <w:b w:val="0"/>
          <w:bCs w:val="0"/>
          <w:color w:val="auto"/>
          <w:sz w:val="30"/>
          <w:szCs w:val="30"/>
          <w:highlight w:val="none"/>
          <w:lang w:eastAsia="zh-CN"/>
        </w:rPr>
        <w:t>、</w:t>
      </w:r>
      <w:r>
        <w:rPr>
          <w:rFonts w:hint="eastAsia" w:ascii="仿宋_GB2312" w:hAnsi="Times New Roman" w:eastAsia="仿宋_GB2312" w:cs="Times New Roman"/>
          <w:b w:val="0"/>
          <w:bCs w:val="0"/>
          <w:color w:val="auto"/>
          <w:sz w:val="30"/>
          <w:szCs w:val="30"/>
          <w:highlight w:val="none"/>
        </w:rPr>
        <w:t>相关资料</w:t>
      </w:r>
      <w:r>
        <w:rPr>
          <w:rFonts w:hint="eastAsia" w:ascii="仿宋_GB2312" w:hAnsi="Times New Roman" w:eastAsia="仿宋_GB2312"/>
          <w:color w:val="auto"/>
          <w:sz w:val="30"/>
          <w:szCs w:val="30"/>
          <w:highlight w:val="none"/>
          <w:lang w:val="en-US" w:eastAsia="zh-CN"/>
        </w:rPr>
        <w:t>以及相应的更改记录。</w:t>
      </w:r>
    </w:p>
    <w:p>
      <w:pPr>
        <w:spacing w:line="360" w:lineRule="auto"/>
        <w:ind w:firstLine="600" w:firstLineChars="200"/>
        <w:jc w:val="left"/>
        <w:outlineLvl w:val="1"/>
        <w:rPr>
          <w:rFonts w:hint="eastAsia" w:eastAsia="黑体"/>
          <w:bCs/>
          <w:strike/>
          <w:sz w:val="30"/>
          <w:szCs w:val="30"/>
        </w:rPr>
      </w:pPr>
      <w:bookmarkStart w:id="32" w:name="_Toc106629594"/>
      <w:r>
        <w:rPr>
          <w:rFonts w:hint="eastAsia" w:eastAsia="黑体"/>
          <w:bCs/>
          <w:sz w:val="30"/>
          <w:szCs w:val="30"/>
        </w:rPr>
        <w:t>第三十</w:t>
      </w:r>
      <w:r>
        <w:rPr>
          <w:rFonts w:hint="eastAsia" w:eastAsia="黑体"/>
          <w:bCs/>
          <w:sz w:val="30"/>
          <w:szCs w:val="30"/>
          <w:lang w:val="en-US" w:eastAsia="zh-CN"/>
        </w:rPr>
        <w:t>六</w:t>
      </w:r>
      <w:r>
        <w:rPr>
          <w:rFonts w:hint="eastAsia" w:eastAsia="黑体"/>
          <w:bCs/>
          <w:sz w:val="30"/>
          <w:szCs w:val="30"/>
        </w:rPr>
        <w:t>条</w:t>
      </w:r>
      <w:r>
        <w:rPr>
          <w:rFonts w:hint="eastAsia" w:eastAsia="黑体"/>
          <w:bCs/>
          <w:sz w:val="30"/>
          <w:szCs w:val="30"/>
          <w:lang w:eastAsia="zh-CN"/>
        </w:rPr>
        <w:t>【</w:t>
      </w:r>
      <w:r>
        <w:rPr>
          <w:rFonts w:hint="eastAsia" w:eastAsia="黑体"/>
          <w:bCs/>
          <w:sz w:val="30"/>
          <w:szCs w:val="30"/>
          <w:lang w:val="en-US" w:eastAsia="zh-CN"/>
        </w:rPr>
        <w:t>其他审核情况</w:t>
      </w:r>
      <w:r>
        <w:rPr>
          <w:rFonts w:hint="eastAsia" w:eastAsia="黑体"/>
          <w:bCs/>
          <w:sz w:val="30"/>
          <w:szCs w:val="30"/>
          <w:lang w:eastAsia="zh-CN"/>
        </w:rPr>
        <w:t>】</w:t>
      </w:r>
    </w:p>
    <w:p>
      <w:pPr>
        <w:pStyle w:val="20"/>
        <w:spacing w:line="3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制造商</w:t>
      </w:r>
      <w:r>
        <w:rPr>
          <w:rFonts w:hint="eastAsia" w:ascii="仿宋_GB2312" w:hAnsi="Times New Roman" w:eastAsia="仿宋_GB2312" w:cs="Times New Roman"/>
          <w:color w:val="auto"/>
          <w:kern w:val="2"/>
          <w:sz w:val="30"/>
          <w:szCs w:val="30"/>
          <w:lang w:eastAsia="zh-CN"/>
        </w:rPr>
        <w:t>的</w:t>
      </w:r>
      <w:r>
        <w:rPr>
          <w:rFonts w:hint="eastAsia" w:ascii="仿宋_GB2312" w:hAnsi="Times New Roman" w:eastAsia="仿宋_GB2312" w:cs="Times New Roman"/>
          <w:color w:val="auto"/>
          <w:kern w:val="2"/>
          <w:sz w:val="30"/>
          <w:szCs w:val="30"/>
          <w:lang w:val="en-US" w:eastAsia="zh-CN"/>
        </w:rPr>
        <w:t>质量一致性条件</w:t>
      </w:r>
      <w:r>
        <w:rPr>
          <w:rFonts w:hint="eastAsia" w:ascii="仿宋_GB2312" w:hAnsi="Times New Roman" w:eastAsia="仿宋_GB2312" w:cs="Times New Roman"/>
          <w:color w:val="auto"/>
          <w:kern w:val="2"/>
          <w:sz w:val="30"/>
          <w:szCs w:val="30"/>
        </w:rPr>
        <w:t>应当符合以下要求：</w:t>
      </w:r>
    </w:p>
    <w:p>
      <w:pPr>
        <w:pStyle w:val="20"/>
        <w:numPr>
          <w:ilvl w:val="0"/>
          <w:numId w:val="1"/>
        </w:numPr>
        <w:autoSpaceDE/>
        <w:autoSpaceDN/>
        <w:spacing w:line="3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生产的</w:t>
      </w:r>
      <w:r>
        <w:rPr>
          <w:rFonts w:hint="eastAsia" w:ascii="仿宋_GB2312" w:eastAsia="仿宋_GB2312"/>
          <w:color w:val="auto"/>
          <w:sz w:val="30"/>
          <w:szCs w:val="30"/>
          <w:lang w:eastAsia="zh-CN"/>
        </w:rPr>
        <w:t>目视助航设备</w:t>
      </w:r>
      <w:r>
        <w:rPr>
          <w:rFonts w:hint="eastAsia" w:ascii="仿宋_GB2312" w:hAnsi="Times New Roman" w:eastAsia="仿宋_GB2312" w:cs="Times New Roman"/>
          <w:color w:val="auto"/>
          <w:kern w:val="2"/>
          <w:sz w:val="30"/>
          <w:szCs w:val="30"/>
        </w:rPr>
        <w:t>应当符合</w:t>
      </w:r>
      <w:r>
        <w:rPr>
          <w:rFonts w:hint="eastAsia" w:ascii="仿宋_GB2312" w:eastAsia="仿宋_GB2312"/>
          <w:color w:val="auto"/>
          <w:sz w:val="30"/>
          <w:szCs w:val="30"/>
        </w:rPr>
        <w:t>安全性能要求和能效指标，关键零部件不得</w:t>
      </w:r>
      <w:r>
        <w:rPr>
          <w:rFonts w:hint="eastAsia" w:ascii="仿宋_GB2312" w:eastAsia="仿宋_GB2312"/>
          <w:color w:val="auto"/>
          <w:sz w:val="30"/>
          <w:szCs w:val="30"/>
          <w:lang w:val="en-US" w:eastAsia="zh-CN"/>
        </w:rPr>
        <w:t>私自</w:t>
      </w:r>
      <w:r>
        <w:rPr>
          <w:rFonts w:hint="eastAsia" w:ascii="仿宋_GB2312" w:eastAsia="仿宋_GB2312"/>
          <w:color w:val="auto"/>
          <w:sz w:val="30"/>
          <w:szCs w:val="30"/>
        </w:rPr>
        <w:t>变动；</w:t>
      </w:r>
    </w:p>
    <w:p>
      <w:pPr>
        <w:pStyle w:val="20"/>
        <w:numPr>
          <w:ilvl w:val="0"/>
          <w:numId w:val="1"/>
        </w:numPr>
        <w:autoSpaceDE/>
        <w:autoSpaceDN/>
        <w:spacing w:line="3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不得发生违背质量一致性要求的重大事件；</w:t>
      </w:r>
    </w:p>
    <w:p>
      <w:pPr>
        <w:pStyle w:val="20"/>
        <w:numPr>
          <w:ilvl w:val="0"/>
          <w:numId w:val="1"/>
        </w:numPr>
        <w:autoSpaceDE/>
        <w:autoSpaceDN/>
        <w:spacing w:line="3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检验</w:t>
      </w:r>
      <w:r>
        <w:rPr>
          <w:rFonts w:hint="eastAsia" w:ascii="仿宋_GB2312" w:hAnsi="Times New Roman" w:eastAsia="仿宋_GB2312" w:cs="Times New Roman"/>
          <w:color w:val="auto"/>
          <w:kern w:val="2"/>
          <w:sz w:val="30"/>
          <w:szCs w:val="30"/>
        </w:rPr>
        <w:t>时不得发生弄虚作假或隐瞒真实情况等行为</w:t>
      </w:r>
      <w:r>
        <w:rPr>
          <w:rFonts w:hint="eastAsia" w:ascii="仿宋_GB2312" w:hAnsi="Times New Roman" w:eastAsia="仿宋_GB2312" w:cs="Times New Roman"/>
          <w:color w:val="auto"/>
          <w:kern w:val="2"/>
          <w:sz w:val="30"/>
          <w:szCs w:val="30"/>
          <w:lang w:eastAsia="zh-CN"/>
        </w:rPr>
        <w:t>；</w:t>
      </w:r>
    </w:p>
    <w:p>
      <w:pPr>
        <w:pStyle w:val="20"/>
        <w:numPr>
          <w:ilvl w:val="0"/>
          <w:numId w:val="1"/>
        </w:numPr>
        <w:autoSpaceDE/>
        <w:autoSpaceDN/>
        <w:spacing w:line="360" w:lineRule="auto"/>
        <w:ind w:firstLine="600" w:firstLineChars="200"/>
        <w:rPr>
          <w:rFonts w:hint="eastAsia" w:ascii="仿宋_GB2312" w:eastAsia="仿宋_GB2312"/>
          <w:color w:val="auto"/>
          <w:sz w:val="30"/>
          <w:szCs w:val="30"/>
        </w:rPr>
      </w:pPr>
      <w:r>
        <w:rPr>
          <w:rFonts w:hint="eastAsia" w:ascii="仿宋_GB2312" w:hAnsi="仿宋_GB2312" w:eastAsia="仿宋_GB2312" w:cs="仿宋_GB2312"/>
          <w:color w:val="auto"/>
          <w:sz w:val="30"/>
          <w:szCs w:val="30"/>
        </w:rPr>
        <w:t>制造商在</w:t>
      </w:r>
      <w:r>
        <w:rPr>
          <w:rFonts w:hint="eastAsia" w:ascii="仿宋_GB2312" w:hAnsi="仿宋_GB2312" w:eastAsia="仿宋_GB2312" w:cs="仿宋_GB2312"/>
          <w:color w:val="auto"/>
          <w:sz w:val="30"/>
          <w:szCs w:val="30"/>
          <w:lang w:val="en-US" w:eastAsia="zh-CN"/>
        </w:rPr>
        <w:t>通告有效期内发生企业名称、地址变更等情况，或发生重大变更，应当主动告知检验机构；</w:t>
      </w:r>
    </w:p>
    <w:p>
      <w:pPr>
        <w:pStyle w:val="20"/>
        <w:numPr>
          <w:ilvl w:val="0"/>
          <w:numId w:val="1"/>
        </w:numPr>
        <w:autoSpaceDE/>
        <w:autoSpaceDN/>
        <w:spacing w:line="360" w:lineRule="auto"/>
        <w:ind w:firstLine="600" w:firstLineChars="200"/>
        <w:rPr>
          <w:rFonts w:hint="eastAsia"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制造商因自身原因不再从事生产</w:t>
      </w:r>
      <w:r>
        <w:rPr>
          <w:rFonts w:hint="eastAsia" w:ascii="仿宋_GB2312" w:hAnsi="Times New Roman" w:eastAsia="仿宋_GB2312" w:cs="Times New Roman"/>
          <w:color w:val="auto"/>
          <w:kern w:val="2"/>
          <w:sz w:val="30"/>
          <w:szCs w:val="30"/>
          <w:lang w:eastAsia="zh-CN"/>
        </w:rPr>
        <w:t>目视助航设备</w:t>
      </w:r>
      <w:r>
        <w:rPr>
          <w:rFonts w:hint="eastAsia" w:ascii="仿宋_GB2312" w:hAnsi="Times New Roman" w:eastAsia="仿宋_GB2312" w:cs="Times New Roman"/>
          <w:color w:val="auto"/>
          <w:kern w:val="2"/>
          <w:sz w:val="30"/>
          <w:szCs w:val="30"/>
        </w:rPr>
        <w:t>，应当主动放弃机场设备通告或被依法撤销设立登记或者吊销营业执照；</w:t>
      </w:r>
    </w:p>
    <w:p>
      <w:pPr>
        <w:pStyle w:val="20"/>
        <w:numPr>
          <w:ilvl w:val="0"/>
          <w:numId w:val="1"/>
        </w:numPr>
        <w:autoSpaceDE/>
        <w:autoSpaceDN/>
        <w:spacing w:line="360" w:lineRule="auto"/>
        <w:ind w:firstLine="600" w:firstLineChars="200"/>
        <w:rPr>
          <w:rFonts w:hint="eastAsia"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制造商生产的</w:t>
      </w:r>
      <w:r>
        <w:rPr>
          <w:rFonts w:hint="eastAsia" w:ascii="仿宋_GB2312" w:hAnsi="Times New Roman" w:eastAsia="仿宋_GB2312" w:cs="Times New Roman"/>
          <w:color w:val="auto"/>
          <w:kern w:val="2"/>
          <w:sz w:val="30"/>
          <w:szCs w:val="30"/>
          <w:lang w:eastAsia="zh-CN"/>
        </w:rPr>
        <w:t>目视助航设备</w:t>
      </w:r>
      <w:r>
        <w:rPr>
          <w:rFonts w:hint="eastAsia" w:ascii="仿宋_GB2312" w:hAnsi="Times New Roman" w:eastAsia="仿宋_GB2312" w:cs="Times New Roman"/>
          <w:color w:val="auto"/>
          <w:kern w:val="2"/>
          <w:sz w:val="30"/>
          <w:szCs w:val="30"/>
        </w:rPr>
        <w:t>存在安全隐患，在运行过程中不得发生运行重大故障引起重大事故的或产生重大影响。设备使用时不得出现造成人员、航空器等严重伤害，或形成不良国际影响等情况。</w:t>
      </w:r>
    </w:p>
    <w:p>
      <w:pPr>
        <w:pStyle w:val="20"/>
        <w:spacing w:line="3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注：本要求中涉及不同设备检验</w:t>
      </w:r>
      <w:r>
        <w:rPr>
          <w:rFonts w:hint="eastAsia" w:ascii="仿宋_GB2312" w:hAnsi="Times New Roman" w:eastAsia="仿宋_GB2312" w:cs="Times New Roman"/>
          <w:color w:val="auto"/>
          <w:kern w:val="2"/>
          <w:sz w:val="30"/>
          <w:szCs w:val="30"/>
        </w:rPr>
        <w:t>机构有特殊要求的，由检验机构视情况而定。如质量一致复审时，检验机构发生变化，应当按照</w:t>
      </w:r>
      <w:r>
        <w:rPr>
          <w:rFonts w:hint="eastAsia" w:ascii="仿宋_GB2312" w:eastAsia="仿宋_GB2312"/>
          <w:color w:val="auto"/>
          <w:sz w:val="30"/>
          <w:szCs w:val="30"/>
        </w:rPr>
        <w:t>首次检验进行申请。</w:t>
      </w:r>
    </w:p>
    <w:bookmarkEnd w:id="31"/>
    <w:bookmarkEnd w:id="32"/>
    <w:p>
      <w:pPr>
        <w:pStyle w:val="19"/>
        <w:spacing w:before="0" w:beforeLines="0" w:after="0" w:afterLines="0" w:line="360" w:lineRule="auto"/>
        <w:ind w:left="0" w:firstLine="0" w:firstLineChars="0"/>
        <w:jc w:val="center"/>
        <w:outlineLvl w:val="0"/>
        <w:rPr>
          <w:rFonts w:ascii="黑体" w:hAnsi="黑体" w:eastAsia="黑体"/>
          <w:sz w:val="32"/>
          <w:szCs w:val="32"/>
          <w:highlight w:val="none"/>
        </w:rPr>
      </w:pPr>
      <w:bookmarkStart w:id="33" w:name="_Toc106629595"/>
      <w:r>
        <w:rPr>
          <w:rFonts w:hint="eastAsia" w:ascii="黑体" w:hAnsi="黑体" w:eastAsia="黑体"/>
          <w:sz w:val="32"/>
          <w:szCs w:val="32"/>
          <w:highlight w:val="none"/>
        </w:rPr>
        <w:t>第六章  设备抽</w:t>
      </w:r>
      <w:r>
        <w:rPr>
          <w:rFonts w:hint="eastAsia" w:ascii="黑体" w:hAnsi="黑体" w:eastAsia="黑体"/>
          <w:sz w:val="32"/>
          <w:szCs w:val="32"/>
          <w:highlight w:val="none"/>
          <w:lang w:val="en-US" w:eastAsia="zh-CN"/>
        </w:rPr>
        <w:t>样检测</w:t>
      </w:r>
      <w:bookmarkEnd w:id="33"/>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bookmarkStart w:id="34" w:name="_Toc106629596"/>
      <w:r>
        <w:rPr>
          <w:rFonts w:hint="eastAsia" w:ascii="黑体" w:hAnsi="黑体" w:eastAsia="黑体" w:cs="黑体"/>
          <w:b w:val="0"/>
          <w:bCs/>
          <w:sz w:val="30"/>
          <w:szCs w:val="30"/>
          <w:highlight w:val="none"/>
        </w:rPr>
        <w:t>第三十</w:t>
      </w:r>
      <w:r>
        <w:rPr>
          <w:rFonts w:hint="eastAsia" w:ascii="黑体" w:hAnsi="黑体" w:eastAsia="黑体" w:cs="黑体"/>
          <w:b w:val="0"/>
          <w:bCs/>
          <w:sz w:val="30"/>
          <w:szCs w:val="30"/>
          <w:highlight w:val="none"/>
          <w:lang w:val="en-US" w:eastAsia="zh-CN"/>
        </w:rPr>
        <w:t>七</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例行抽检</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对已获通告的目视助航设备的制造商，检验机构应当每两年对其进行一次质量一致性</w:t>
      </w:r>
      <w:r>
        <w:rPr>
          <w:rFonts w:hint="eastAsia" w:ascii="仿宋_GB2312" w:hAnsi="Times New Roman" w:eastAsia="仿宋_GB2312" w:cs="Times New Roman"/>
          <w:b w:val="0"/>
          <w:bCs w:val="0"/>
          <w:color w:val="auto"/>
          <w:sz w:val="30"/>
          <w:szCs w:val="30"/>
          <w:highlight w:val="none"/>
          <w:lang w:val="en-US" w:eastAsia="zh-CN"/>
        </w:rPr>
        <w:t>复</w:t>
      </w:r>
      <w:r>
        <w:rPr>
          <w:rFonts w:hint="eastAsia" w:ascii="仿宋_GB2312" w:hAnsi="Times New Roman" w:eastAsia="仿宋_GB2312"/>
          <w:color w:val="auto"/>
          <w:sz w:val="30"/>
          <w:szCs w:val="30"/>
          <w:highlight w:val="none"/>
        </w:rPr>
        <w:t>审例行</w:t>
      </w:r>
      <w:r>
        <w:rPr>
          <w:rFonts w:hint="eastAsia" w:ascii="仿宋_GB2312" w:hAnsi="Times New Roman" w:eastAsia="仿宋_GB2312" w:cs="Times New Roman"/>
          <w:b w:val="0"/>
          <w:bCs w:val="0"/>
          <w:color w:val="auto"/>
          <w:sz w:val="30"/>
          <w:szCs w:val="30"/>
          <w:highlight w:val="none"/>
          <w:lang w:val="en-US" w:eastAsia="zh-CN"/>
        </w:rPr>
        <w:t>抽样检测</w:t>
      </w:r>
      <w:r>
        <w:rPr>
          <w:rFonts w:hint="eastAsia" w:ascii="仿宋_GB2312" w:hAnsi="Times New Roman" w:eastAsia="仿宋_GB2312"/>
          <w:color w:val="auto"/>
          <w:sz w:val="30"/>
          <w:szCs w:val="30"/>
          <w:highlight w:val="none"/>
        </w:rPr>
        <w:t>。</w:t>
      </w:r>
      <w:bookmarkEnd w:id="34"/>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s="Times New Roman"/>
          <w:b w:val="0"/>
          <w:bCs w:val="0"/>
          <w:color w:val="auto"/>
          <w:sz w:val="30"/>
          <w:szCs w:val="30"/>
          <w:highlight w:val="none"/>
        </w:rPr>
      </w:pPr>
      <w:bookmarkStart w:id="35" w:name="_Toc106629597"/>
      <w:r>
        <w:rPr>
          <w:rFonts w:hint="eastAsia" w:ascii="仿宋_GB2312" w:hAnsi="Times New Roman" w:eastAsia="仿宋_GB2312"/>
          <w:color w:val="auto"/>
          <w:sz w:val="30"/>
          <w:szCs w:val="30"/>
          <w:highlight w:val="none"/>
        </w:rPr>
        <w:t>检验机构应当对制造商申请复审的目视助航设备生产库存或</w:t>
      </w:r>
      <w:r>
        <w:rPr>
          <w:rFonts w:hint="eastAsia" w:ascii="仿宋_GB2312" w:hAnsi="Times New Roman" w:eastAsia="仿宋_GB2312"/>
          <w:color w:val="auto"/>
          <w:sz w:val="30"/>
          <w:szCs w:val="30"/>
          <w:highlight w:val="none"/>
          <w:lang w:val="en-US" w:eastAsia="zh-CN"/>
        </w:rPr>
        <w:t>机场备品配件库中</w:t>
      </w:r>
      <w:r>
        <w:rPr>
          <w:rFonts w:hint="eastAsia" w:ascii="仿宋_GB2312" w:hAnsi="Times New Roman" w:eastAsia="仿宋_GB2312"/>
          <w:color w:val="auto"/>
          <w:sz w:val="30"/>
          <w:szCs w:val="30"/>
          <w:highlight w:val="none"/>
        </w:rPr>
        <w:t>抽样</w:t>
      </w:r>
      <w:r>
        <w:rPr>
          <w:rFonts w:hint="eastAsia" w:ascii="仿宋_GB2312" w:hAnsi="Times New Roman" w:eastAsia="仿宋_GB2312"/>
          <w:color w:val="auto"/>
          <w:sz w:val="30"/>
          <w:szCs w:val="30"/>
          <w:highlight w:val="none"/>
          <w:lang w:eastAsia="zh-CN"/>
        </w:rPr>
        <w:t>，</w:t>
      </w:r>
      <w:r>
        <w:rPr>
          <w:rFonts w:hint="eastAsia" w:ascii="仿宋_GB2312" w:hAnsi="Times New Roman" w:eastAsia="仿宋_GB2312"/>
          <w:color w:val="auto"/>
          <w:sz w:val="30"/>
          <w:szCs w:val="30"/>
          <w:highlight w:val="none"/>
          <w:lang w:val="en-US" w:eastAsia="zh-CN"/>
        </w:rPr>
        <w:t>并</w:t>
      </w:r>
      <w:r>
        <w:rPr>
          <w:rFonts w:hint="eastAsia" w:ascii="仿宋_GB2312" w:hAnsi="Times New Roman" w:eastAsia="仿宋_GB2312"/>
          <w:color w:val="auto"/>
          <w:sz w:val="30"/>
          <w:szCs w:val="30"/>
          <w:highlight w:val="none"/>
        </w:rPr>
        <w:t>进行复审</w:t>
      </w:r>
      <w:r>
        <w:rPr>
          <w:rFonts w:hint="eastAsia" w:ascii="仿宋_GB2312" w:hAnsi="Times New Roman" w:eastAsia="仿宋_GB2312"/>
          <w:color w:val="auto"/>
          <w:sz w:val="30"/>
          <w:szCs w:val="30"/>
          <w:highlight w:val="none"/>
          <w:lang w:val="en-US" w:eastAsia="zh-CN"/>
        </w:rPr>
        <w:t>项目的检测</w:t>
      </w:r>
      <w:r>
        <w:rPr>
          <w:rFonts w:hint="eastAsia" w:ascii="仿宋_GB2312" w:hAnsi="Times New Roman" w:eastAsia="仿宋_GB2312"/>
          <w:color w:val="auto"/>
          <w:sz w:val="30"/>
          <w:szCs w:val="30"/>
          <w:highlight w:val="none"/>
        </w:rPr>
        <w:t>。</w:t>
      </w:r>
    </w:p>
    <w:bookmarkEnd w:id="35"/>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bookmarkStart w:id="36" w:name="_Toc106629598"/>
      <w:r>
        <w:rPr>
          <w:rFonts w:hint="eastAsia" w:ascii="黑体" w:hAnsi="黑体" w:eastAsia="黑体" w:cs="黑体"/>
          <w:b w:val="0"/>
          <w:bCs/>
          <w:sz w:val="30"/>
          <w:szCs w:val="30"/>
          <w:highlight w:val="none"/>
        </w:rPr>
        <w:t>第三十</w:t>
      </w:r>
      <w:r>
        <w:rPr>
          <w:rFonts w:hint="eastAsia" w:ascii="黑体" w:hAnsi="黑体" w:eastAsia="黑体" w:cs="黑体"/>
          <w:b w:val="0"/>
          <w:bCs/>
          <w:sz w:val="30"/>
          <w:szCs w:val="30"/>
          <w:highlight w:val="none"/>
          <w:lang w:val="en-US" w:eastAsia="zh-CN"/>
        </w:rPr>
        <w:t>八</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随机抽检</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对已获通告的目视助航设备的制造商，检验机构可根据需要在两次复审之间对其进行一次质量一致性审</w:t>
      </w:r>
      <w:r>
        <w:rPr>
          <w:rFonts w:hint="eastAsia" w:ascii="仿宋_GB2312" w:hAnsi="Times New Roman" w:eastAsia="仿宋_GB2312"/>
          <w:color w:val="auto"/>
          <w:sz w:val="30"/>
          <w:szCs w:val="30"/>
          <w:highlight w:val="none"/>
          <w:lang w:val="en-US" w:eastAsia="zh-CN"/>
        </w:rPr>
        <w:t>核</w:t>
      </w:r>
      <w:r>
        <w:rPr>
          <w:rFonts w:hint="eastAsia" w:ascii="仿宋_GB2312" w:hAnsi="Times New Roman" w:eastAsia="仿宋_GB2312"/>
          <w:color w:val="auto"/>
          <w:sz w:val="30"/>
          <w:szCs w:val="30"/>
          <w:highlight w:val="none"/>
        </w:rPr>
        <w:t>随机</w:t>
      </w:r>
      <w:r>
        <w:rPr>
          <w:rFonts w:hint="eastAsia" w:ascii="仿宋_GB2312" w:hAnsi="Times New Roman" w:eastAsia="仿宋_GB2312" w:cs="Times New Roman"/>
          <w:b w:val="0"/>
          <w:bCs w:val="0"/>
          <w:color w:val="auto"/>
          <w:sz w:val="30"/>
          <w:szCs w:val="30"/>
          <w:highlight w:val="none"/>
          <w:lang w:val="en-US" w:eastAsia="zh-CN"/>
        </w:rPr>
        <w:t>抽样检测</w:t>
      </w:r>
      <w:r>
        <w:rPr>
          <w:rFonts w:hint="eastAsia" w:ascii="仿宋_GB2312" w:hAnsi="Times New Roman" w:eastAsia="仿宋_GB2312"/>
          <w:color w:val="auto"/>
          <w:sz w:val="30"/>
          <w:szCs w:val="30"/>
          <w:highlight w:val="none"/>
        </w:rPr>
        <w:t>。</w:t>
      </w:r>
      <w:bookmarkEnd w:id="36"/>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s="Times New Roman"/>
          <w:b w:val="0"/>
          <w:bCs w:val="0"/>
          <w:color w:val="auto"/>
          <w:sz w:val="30"/>
          <w:szCs w:val="30"/>
          <w:highlight w:val="none"/>
        </w:rPr>
      </w:pPr>
      <w:r>
        <w:rPr>
          <w:rFonts w:hint="eastAsia" w:ascii="仿宋_GB2312" w:hAnsi="Times New Roman" w:eastAsia="仿宋_GB2312"/>
          <w:color w:val="auto"/>
          <w:sz w:val="30"/>
          <w:szCs w:val="30"/>
          <w:highlight w:val="none"/>
          <w:lang w:val="en-US" w:eastAsia="zh-CN"/>
        </w:rPr>
        <w:t>检验机构应当</w:t>
      </w:r>
      <w:r>
        <w:rPr>
          <w:rFonts w:hint="eastAsia" w:ascii="仿宋_GB2312" w:hAnsi="Times New Roman" w:eastAsia="仿宋_GB2312"/>
          <w:color w:val="auto"/>
          <w:sz w:val="30"/>
          <w:szCs w:val="30"/>
          <w:highlight w:val="none"/>
        </w:rPr>
        <w:t>在制造商成品库房</w:t>
      </w:r>
      <w:r>
        <w:rPr>
          <w:rFonts w:hint="eastAsia" w:ascii="仿宋_GB2312" w:hAnsi="Times New Roman" w:eastAsia="仿宋_GB2312"/>
          <w:color w:val="auto"/>
          <w:sz w:val="30"/>
          <w:szCs w:val="30"/>
          <w:highlight w:val="none"/>
          <w:lang w:val="en-US" w:eastAsia="zh-CN"/>
        </w:rPr>
        <w:t>或机场备品配件库中</w:t>
      </w:r>
      <w:r>
        <w:rPr>
          <w:rFonts w:hint="eastAsia" w:ascii="仿宋_GB2312" w:hAnsi="Times New Roman" w:eastAsia="仿宋_GB2312"/>
          <w:color w:val="auto"/>
          <w:sz w:val="30"/>
          <w:szCs w:val="30"/>
          <w:highlight w:val="none"/>
        </w:rPr>
        <w:t>随机抽取一款已获通告的质检合格的目视助航设备封样后寄送至检验机构进行复审项目的</w:t>
      </w:r>
      <w:r>
        <w:rPr>
          <w:rFonts w:hint="eastAsia" w:ascii="仿宋_GB2312" w:hAnsi="Times New Roman" w:eastAsia="仿宋_GB2312"/>
          <w:color w:val="auto"/>
          <w:sz w:val="30"/>
          <w:szCs w:val="30"/>
          <w:highlight w:val="none"/>
          <w:lang w:val="en-US" w:eastAsia="zh-CN"/>
        </w:rPr>
        <w:t>检测</w:t>
      </w:r>
      <w:r>
        <w:rPr>
          <w:rFonts w:hint="eastAsia" w:ascii="仿宋_GB2312" w:hAnsi="Times New Roman" w:eastAsia="仿宋_GB2312"/>
          <w:color w:val="auto"/>
          <w:sz w:val="30"/>
          <w:szCs w:val="30"/>
          <w:highlight w:val="none"/>
        </w:rPr>
        <w:t>。</w:t>
      </w:r>
    </w:p>
    <w:p>
      <w:pPr>
        <w:autoSpaceDE/>
        <w:autoSpaceDN/>
        <w:adjustRightInd/>
        <w:snapToGrid/>
        <w:spacing w:line="360" w:lineRule="auto"/>
        <w:ind w:firstLine="600" w:firstLineChars="200"/>
        <w:jc w:val="both"/>
        <w:rPr>
          <w:rFonts w:hint="default" w:ascii="仿宋_GB2312" w:hAnsi="Times New Roman" w:eastAsia="仿宋_GB2312"/>
          <w:color w:val="auto"/>
          <w:sz w:val="30"/>
          <w:szCs w:val="30"/>
          <w:highlight w:val="none"/>
        </w:rPr>
      </w:pPr>
      <w:r>
        <w:rPr>
          <w:rFonts w:hint="eastAsia" w:ascii="黑体" w:hAnsi="黑体" w:eastAsia="黑体" w:cs="黑体"/>
          <w:b w:val="0"/>
          <w:bCs/>
          <w:sz w:val="30"/>
          <w:szCs w:val="30"/>
          <w:highlight w:val="none"/>
          <w:lang w:val="en-US" w:eastAsia="zh-CN"/>
        </w:rPr>
        <w:t>第三十九条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抽样数量</w:t>
      </w:r>
      <w:r>
        <w:rPr>
          <w:rFonts w:hint="eastAsia" w:ascii="黑体" w:hAnsi="黑体" w:eastAsia="黑体" w:cs="黑体"/>
          <w:b w:val="0"/>
          <w:bCs/>
          <w:sz w:val="30"/>
          <w:szCs w:val="30"/>
          <w:highlight w:val="none"/>
          <w:lang w:eastAsia="zh-CN"/>
        </w:rPr>
        <w:t>】</w:t>
      </w:r>
      <w:r>
        <w:rPr>
          <w:rFonts w:hint="eastAsia" w:ascii="仿宋_GB2312" w:hAnsi="Times New Roman" w:eastAsia="仿宋_GB2312" w:cs="Times New Roman"/>
          <w:b w:val="0"/>
          <w:bCs w:val="0"/>
          <w:color w:val="auto"/>
          <w:sz w:val="30"/>
          <w:szCs w:val="30"/>
          <w:highlight w:val="none"/>
          <w:lang w:val="en-US" w:eastAsia="zh-CN"/>
        </w:rPr>
        <w:t>检验机构应当对申请复审的所有目视助航设备进行抽样，抽样基数为三台，抽样数量为一台，抽样样品应当为本次质量一致性复审核查周期内生产。对未能满足抽样基数而无法进行抽样的目视助航设备，按照抽检不合格处理，并撤销该设备的通告。</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s="Times New Roman"/>
          <w:b w:val="0"/>
          <w:bCs w:val="0"/>
          <w:color w:val="auto"/>
          <w:sz w:val="30"/>
          <w:szCs w:val="30"/>
          <w:highlight w:val="none"/>
        </w:rPr>
      </w:pPr>
      <w:bookmarkStart w:id="37" w:name="_Toc106629599"/>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四十</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抽样过程要求</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例行抽检和随机抽</w:t>
      </w:r>
      <w:r>
        <w:rPr>
          <w:rFonts w:hint="eastAsia" w:ascii="仿宋_GB2312" w:hAnsi="Times New Roman" w:eastAsia="仿宋_GB2312"/>
          <w:color w:val="auto"/>
          <w:sz w:val="30"/>
          <w:szCs w:val="30"/>
          <w:highlight w:val="none"/>
          <w:lang w:val="en-US" w:eastAsia="zh-CN"/>
        </w:rPr>
        <w:t>检</w:t>
      </w:r>
      <w:r>
        <w:rPr>
          <w:rFonts w:hint="eastAsia" w:ascii="仿宋_GB2312" w:hAnsi="Times New Roman" w:eastAsia="仿宋_GB2312"/>
          <w:color w:val="auto"/>
          <w:sz w:val="30"/>
          <w:szCs w:val="30"/>
          <w:highlight w:val="none"/>
        </w:rPr>
        <w:t>均需要对已获通告的目视助航设备进行抽样。抽样人员不得少于两人，</w:t>
      </w:r>
      <w:bookmarkEnd w:id="37"/>
      <w:r>
        <w:rPr>
          <w:rFonts w:hint="eastAsia" w:ascii="仿宋_GB2312" w:hAnsi="Times New Roman" w:eastAsia="仿宋_GB2312"/>
          <w:color w:val="auto"/>
          <w:sz w:val="30"/>
          <w:szCs w:val="30"/>
          <w:highlight w:val="none"/>
        </w:rPr>
        <w:t>抽样人员应当在制造商成品仓库内抽取有质量检验合格证明或者以其他形式表明合格的产品，使用规定的抽样文书记录抽样信息，并对抽样场所、贮存环境、被抽样产品的标识、库存数量、抽样过程等通过拍照或者录像的方式留存证据。</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抽样文书应当经抽样人员和被抽样制造商签字。文书内容确需更正或者补充的，应当由被抽样制造商在更正或者补充处以签名、盖章等方式予以确认。</w:t>
      </w:r>
    </w:p>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抽样产品应当予以封存，并加施封存标识，一般使用封条对样品外包装进行封存，封条由两名抽样人员和制造商共同签名并注明抽样日期。目视助航设备制造商应当在抽样文书规定的时间范围内将被抽样产品寄送至检验机构进行检验。</w:t>
      </w:r>
    </w:p>
    <w:p>
      <w:pPr>
        <w:pStyle w:val="19"/>
        <w:spacing w:before="0" w:beforeLines="0" w:after="0" w:afterLines="0" w:line="360" w:lineRule="auto"/>
        <w:ind w:left="0" w:firstLine="0" w:firstLineChars="0"/>
        <w:jc w:val="center"/>
        <w:outlineLvl w:val="0"/>
        <w:rPr>
          <w:rFonts w:ascii="黑体" w:hAnsi="黑体" w:eastAsia="黑体"/>
          <w:sz w:val="32"/>
          <w:szCs w:val="32"/>
          <w:highlight w:val="none"/>
        </w:rPr>
      </w:pPr>
      <w:bookmarkStart w:id="38" w:name="_Toc106629600"/>
      <w:r>
        <w:rPr>
          <w:rFonts w:hint="eastAsia" w:ascii="黑体" w:hAnsi="黑体" w:eastAsia="黑体"/>
          <w:sz w:val="32"/>
          <w:szCs w:val="32"/>
          <w:highlight w:val="none"/>
        </w:rPr>
        <w:t>第七章  结论判定</w:t>
      </w:r>
      <w:bookmarkEnd w:id="38"/>
    </w:p>
    <w:p>
      <w:pPr>
        <w:autoSpaceDE/>
        <w:autoSpaceDN/>
        <w:adjustRightInd/>
        <w:snapToGrid/>
        <w:spacing w:line="360" w:lineRule="auto"/>
        <w:ind w:firstLine="600" w:firstLineChars="200"/>
        <w:jc w:val="both"/>
        <w:rPr>
          <w:rFonts w:hint="eastAsia" w:ascii="仿宋_GB2312" w:hAnsi="Times New Roman" w:eastAsia="仿宋_GB2312"/>
          <w:color w:val="auto"/>
          <w:sz w:val="30"/>
          <w:szCs w:val="30"/>
          <w:highlight w:val="none"/>
        </w:rPr>
      </w:pPr>
      <w:r>
        <w:rPr>
          <w:rFonts w:hint="eastAsia" w:ascii="黑体" w:hAnsi="黑体" w:eastAsia="黑体" w:cs="黑体"/>
          <w:b w:val="0"/>
          <w:bCs/>
          <w:sz w:val="30"/>
          <w:szCs w:val="30"/>
          <w:highlight w:val="none"/>
          <w:lang w:val="en-US" w:eastAsia="zh-CN"/>
        </w:rPr>
        <w:t>第四十一条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审核结论</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lang w:val="en-US" w:eastAsia="zh-CN"/>
        </w:rPr>
        <w:t>质量一致性复审</w:t>
      </w:r>
      <w:r>
        <w:rPr>
          <w:rFonts w:hint="eastAsia" w:ascii="仿宋_GB2312" w:hAnsi="Times New Roman" w:eastAsia="仿宋_GB2312"/>
          <w:color w:val="auto"/>
          <w:sz w:val="30"/>
          <w:szCs w:val="30"/>
          <w:highlight w:val="none"/>
        </w:rPr>
        <w:t>结论分为通过、存在问题需要整改和不通过三种。</w:t>
      </w:r>
    </w:p>
    <w:p>
      <w:pPr>
        <w:autoSpaceDE/>
        <w:autoSpaceDN/>
        <w:adjustRightInd/>
        <w:snapToGrid/>
        <w:spacing w:line="360" w:lineRule="auto"/>
        <w:ind w:firstLine="600" w:firstLineChars="200"/>
        <w:jc w:val="both"/>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rPr>
        <w:t>检验机构应当于5个工作日内书面通知制造商</w:t>
      </w:r>
      <w:r>
        <w:rPr>
          <w:rFonts w:hint="eastAsia" w:ascii="仿宋_GB2312" w:eastAsia="仿宋_GB2312"/>
          <w:sz w:val="30"/>
          <w:szCs w:val="30"/>
          <w:lang w:val="en-US" w:eastAsia="zh-CN"/>
        </w:rPr>
        <w:t>审核结论</w:t>
      </w:r>
      <w:r>
        <w:rPr>
          <w:rFonts w:hint="eastAsia" w:ascii="仿宋_GB2312" w:hAnsi="Times New Roman" w:eastAsia="仿宋_GB2312"/>
          <w:color w:val="auto"/>
          <w:sz w:val="30"/>
          <w:szCs w:val="30"/>
          <w:highlight w:val="none"/>
          <w:lang w:val="en-US" w:eastAsia="zh-CN"/>
        </w:rPr>
        <w:t>。</w:t>
      </w:r>
    </w:p>
    <w:p>
      <w:pPr>
        <w:autoSpaceDE/>
        <w:autoSpaceDN/>
        <w:adjustRightInd/>
        <w:snapToGrid/>
        <w:spacing w:line="360" w:lineRule="auto"/>
        <w:ind w:firstLine="600" w:firstLineChars="200"/>
        <w:jc w:val="both"/>
        <w:outlineLvl w:val="9"/>
        <w:rPr>
          <w:rFonts w:hint="eastAsia" w:ascii="仿宋_GB2312" w:hAnsi="Times New Roman" w:eastAsia="仿宋_GB2312"/>
          <w:b w:val="0"/>
          <w:color w:val="auto"/>
          <w:sz w:val="30"/>
          <w:szCs w:val="30"/>
          <w:highlight w:val="none"/>
        </w:rPr>
      </w:pPr>
      <w:bookmarkStart w:id="39" w:name="_Toc106629601"/>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四十二</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审核通过</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现场审核未发现制造商存在不符合项视为审核通过，检验机构应当于10个工作日内出具质量一致性审核报告。</w:t>
      </w:r>
      <w:bookmarkEnd w:id="39"/>
    </w:p>
    <w:p>
      <w:pPr>
        <w:autoSpaceDE/>
        <w:autoSpaceDN/>
        <w:adjustRightInd/>
        <w:snapToGrid/>
        <w:spacing w:line="360" w:lineRule="auto"/>
        <w:ind w:firstLine="600" w:firstLineChars="200"/>
        <w:jc w:val="both"/>
        <w:outlineLvl w:val="9"/>
        <w:rPr>
          <w:rFonts w:hint="eastAsia" w:ascii="仿宋_GB2312" w:hAnsi="Times New Roman" w:eastAsia="仿宋_GB2312"/>
          <w:color w:val="auto"/>
          <w:sz w:val="30"/>
          <w:szCs w:val="30"/>
          <w:highlight w:val="none"/>
        </w:rPr>
      </w:pPr>
      <w:bookmarkStart w:id="40" w:name="_Toc106629602"/>
      <w:r>
        <w:rPr>
          <w:rFonts w:hint="eastAsia" w:ascii="黑体" w:hAnsi="黑体" w:eastAsia="黑体" w:cs="黑体"/>
          <w:b w:val="0"/>
          <w:bCs/>
          <w:sz w:val="30"/>
          <w:szCs w:val="30"/>
          <w:highlight w:val="none"/>
        </w:rPr>
        <w:t>第</w:t>
      </w:r>
      <w:r>
        <w:rPr>
          <w:rFonts w:hint="eastAsia" w:ascii="黑体" w:hAnsi="黑体" w:eastAsia="黑体" w:cs="黑体"/>
          <w:b w:val="0"/>
          <w:bCs/>
          <w:sz w:val="30"/>
          <w:szCs w:val="30"/>
          <w:highlight w:val="none"/>
          <w:lang w:val="en-US" w:eastAsia="zh-CN"/>
        </w:rPr>
        <w:t>四十三</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存在问题需要整改</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现场审核发现制造商出现偶发的、独立的对产品质量、质量管理体系有效运行没有严重影响的不符合项为存在问题需要整改。检验机构应当在整改通知中注明整改期限</w:t>
      </w:r>
      <w:r>
        <w:rPr>
          <w:rFonts w:hint="eastAsia" w:ascii="仿宋_GB2312" w:hAnsi="Times New Roman" w:eastAsia="仿宋_GB2312"/>
          <w:color w:val="auto"/>
          <w:sz w:val="30"/>
          <w:szCs w:val="30"/>
          <w:highlight w:val="none"/>
          <w:lang w:eastAsia="zh-CN"/>
        </w:rPr>
        <w:t>（</w:t>
      </w:r>
      <w:r>
        <w:rPr>
          <w:rFonts w:hint="eastAsia" w:ascii="仿宋_GB2312" w:hAnsi="Times New Roman" w:eastAsia="仿宋_GB2312"/>
          <w:color w:val="auto"/>
          <w:sz w:val="30"/>
          <w:szCs w:val="30"/>
          <w:highlight w:val="none"/>
        </w:rPr>
        <w:t>精确到日期</w:t>
      </w:r>
      <w:r>
        <w:rPr>
          <w:rFonts w:hint="eastAsia" w:ascii="仿宋_GB2312" w:hAnsi="Times New Roman" w:eastAsia="仿宋_GB2312"/>
          <w:color w:val="auto"/>
          <w:sz w:val="30"/>
          <w:szCs w:val="30"/>
          <w:highlight w:val="none"/>
          <w:lang w:eastAsia="zh-CN"/>
        </w:rPr>
        <w:t>）</w:t>
      </w:r>
      <w:r>
        <w:rPr>
          <w:rFonts w:hint="eastAsia" w:ascii="仿宋_GB2312" w:hAnsi="Times New Roman" w:eastAsia="仿宋_GB2312"/>
          <w:color w:val="auto"/>
          <w:sz w:val="30"/>
          <w:szCs w:val="30"/>
          <w:highlight w:val="none"/>
        </w:rPr>
        <w:t>整改期最长不超过3个月</w:t>
      </w:r>
      <w:r>
        <w:rPr>
          <w:rFonts w:hint="eastAsia" w:ascii="仿宋_GB2312" w:hAnsi="Times New Roman" w:eastAsia="仿宋_GB2312"/>
          <w:color w:val="auto"/>
          <w:sz w:val="30"/>
          <w:szCs w:val="30"/>
          <w:highlight w:val="none"/>
          <w:lang w:eastAsia="zh-CN"/>
        </w:rPr>
        <w:t>。</w:t>
      </w:r>
      <w:r>
        <w:rPr>
          <w:rFonts w:hint="eastAsia" w:ascii="仿宋_GB2312" w:hAnsi="Times New Roman" w:eastAsia="仿宋_GB2312"/>
          <w:color w:val="auto"/>
          <w:sz w:val="30"/>
          <w:szCs w:val="30"/>
          <w:highlight w:val="none"/>
        </w:rPr>
        <w:t>设备制造商在整改期内完成整改后向检验机构提交整改报告</w:t>
      </w:r>
      <w:r>
        <w:rPr>
          <w:rFonts w:hint="eastAsia" w:ascii="仿宋_GB2312" w:hAnsi="Times New Roman" w:eastAsia="仿宋_GB2312"/>
          <w:color w:val="auto"/>
          <w:sz w:val="30"/>
          <w:szCs w:val="30"/>
          <w:highlight w:val="none"/>
          <w:lang w:eastAsia="zh-CN"/>
        </w:rPr>
        <w:t>。</w:t>
      </w:r>
      <w:r>
        <w:rPr>
          <w:rFonts w:hint="eastAsia" w:ascii="仿宋_GB2312" w:hAnsi="Times New Roman" w:eastAsia="仿宋_GB2312"/>
          <w:color w:val="auto"/>
          <w:sz w:val="30"/>
          <w:szCs w:val="30"/>
          <w:highlight w:val="none"/>
        </w:rPr>
        <w:t>经检验机构复核验证纠正有效，应当给予审核通过的结论</w:t>
      </w:r>
      <w:r>
        <w:rPr>
          <w:rFonts w:hint="eastAsia" w:ascii="仿宋_GB2312" w:hAnsi="Times New Roman" w:eastAsia="仿宋_GB2312"/>
          <w:color w:val="auto"/>
          <w:sz w:val="30"/>
          <w:szCs w:val="30"/>
          <w:highlight w:val="none"/>
          <w:lang w:eastAsia="zh-CN"/>
        </w:rPr>
        <w:t>；</w:t>
      </w:r>
      <w:r>
        <w:rPr>
          <w:rFonts w:hint="eastAsia" w:ascii="仿宋_GB2312" w:eastAsia="仿宋_GB2312"/>
          <w:sz w:val="30"/>
          <w:szCs w:val="30"/>
        </w:rPr>
        <w:t>整改逾期仍不符合要求的，或不配合</w:t>
      </w:r>
      <w:r>
        <w:rPr>
          <w:rFonts w:hint="eastAsia" w:ascii="仿宋_GB2312" w:eastAsia="仿宋_GB2312"/>
          <w:sz w:val="30"/>
          <w:szCs w:val="30"/>
          <w:lang w:eastAsia="zh-CN"/>
        </w:rPr>
        <w:t>民航行政机关</w:t>
      </w:r>
      <w:r>
        <w:rPr>
          <w:rFonts w:hint="eastAsia" w:ascii="仿宋_GB2312" w:eastAsia="仿宋_GB2312"/>
          <w:sz w:val="30"/>
          <w:szCs w:val="30"/>
        </w:rPr>
        <w:t>要求开展整改工作的，应当给予检验不通过的结论，并撤销有关专用设备的通告。</w:t>
      </w:r>
      <w:bookmarkEnd w:id="40"/>
    </w:p>
    <w:p>
      <w:pPr>
        <w:autoSpaceDE w:val="0"/>
        <w:autoSpaceDN w:val="0"/>
        <w:adjustRightInd w:val="0"/>
        <w:snapToGrid/>
        <w:spacing w:line="360" w:lineRule="auto"/>
        <w:ind w:firstLine="600" w:firstLineChars="200"/>
        <w:outlineLvl w:val="1"/>
        <w:rPr>
          <w:rFonts w:hint="eastAsia" w:ascii="仿宋_GB2312" w:eastAsia="仿宋_GB2312"/>
          <w:sz w:val="30"/>
          <w:szCs w:val="30"/>
        </w:rPr>
      </w:pPr>
      <w:bookmarkStart w:id="41" w:name="_Toc106629603"/>
      <w:r>
        <w:rPr>
          <w:rFonts w:hint="eastAsia" w:ascii="黑体" w:hAnsi="黑体" w:eastAsia="黑体" w:cs="黑体"/>
          <w:b w:val="0"/>
          <w:bCs/>
          <w:sz w:val="30"/>
          <w:szCs w:val="30"/>
          <w:highlight w:val="none"/>
        </w:rPr>
        <w:t>第四十</w:t>
      </w:r>
      <w:r>
        <w:rPr>
          <w:rFonts w:hint="eastAsia" w:ascii="黑体" w:hAnsi="黑体" w:eastAsia="黑体" w:cs="黑体"/>
          <w:b w:val="0"/>
          <w:bCs/>
          <w:sz w:val="30"/>
          <w:szCs w:val="30"/>
          <w:highlight w:val="none"/>
          <w:lang w:val="en-US" w:eastAsia="zh-CN"/>
        </w:rPr>
        <w:t>四</w:t>
      </w:r>
      <w:r>
        <w:rPr>
          <w:rFonts w:hint="eastAsia" w:ascii="黑体" w:hAnsi="黑体" w:eastAsia="黑体" w:cs="黑体"/>
          <w:b w:val="0"/>
          <w:bCs/>
          <w:sz w:val="30"/>
          <w:szCs w:val="30"/>
          <w:highlight w:val="none"/>
        </w:rPr>
        <w:t>条</w:t>
      </w:r>
      <w:r>
        <w:rPr>
          <w:rFonts w:hint="eastAsia" w:ascii="黑体" w:hAnsi="黑体" w:eastAsia="黑体" w:cs="黑体"/>
          <w:b w:val="0"/>
          <w:bCs/>
          <w:sz w:val="30"/>
          <w:szCs w:val="30"/>
          <w:highlight w:val="none"/>
          <w:lang w:eastAsia="zh-CN"/>
        </w:rPr>
        <w:t>【</w:t>
      </w:r>
      <w:r>
        <w:rPr>
          <w:rFonts w:hint="eastAsia" w:ascii="黑体" w:hAnsi="黑体" w:eastAsia="黑体" w:cs="黑体"/>
          <w:b w:val="0"/>
          <w:bCs/>
          <w:sz w:val="30"/>
          <w:szCs w:val="30"/>
          <w:highlight w:val="none"/>
          <w:lang w:val="en-US" w:eastAsia="zh-CN"/>
        </w:rPr>
        <w:t>审核不通过</w:t>
      </w:r>
      <w:r>
        <w:rPr>
          <w:rFonts w:hint="eastAsia" w:ascii="黑体" w:hAnsi="黑体" w:eastAsia="黑体" w:cs="黑体"/>
          <w:b w:val="0"/>
          <w:bCs/>
          <w:sz w:val="30"/>
          <w:szCs w:val="30"/>
          <w:highlight w:val="none"/>
          <w:lang w:eastAsia="zh-CN"/>
        </w:rPr>
        <w:t>】</w:t>
      </w:r>
      <w:r>
        <w:rPr>
          <w:rFonts w:hint="eastAsia" w:ascii="仿宋_GB2312" w:eastAsia="仿宋_GB2312"/>
          <w:sz w:val="30"/>
          <w:szCs w:val="30"/>
        </w:rPr>
        <w:t>存在</w:t>
      </w:r>
      <w:r>
        <w:rPr>
          <w:rFonts w:hint="eastAsia" w:ascii="仿宋_GB2312" w:eastAsia="仿宋_GB2312"/>
          <w:sz w:val="30"/>
          <w:szCs w:val="30"/>
          <w:lang w:val="en-US" w:eastAsia="zh-CN"/>
        </w:rPr>
        <w:t>质量一致性关键否决项目</w:t>
      </w:r>
      <w:r>
        <w:rPr>
          <w:rFonts w:hint="eastAsia" w:ascii="仿宋_GB2312" w:eastAsia="仿宋_GB2312"/>
          <w:sz w:val="30"/>
          <w:szCs w:val="30"/>
        </w:rPr>
        <w:t>之一情况的，审核</w:t>
      </w:r>
      <w:r>
        <w:rPr>
          <w:rFonts w:hint="eastAsia" w:ascii="仿宋_GB2312" w:eastAsia="仿宋_GB2312"/>
          <w:sz w:val="30"/>
          <w:szCs w:val="30"/>
          <w:lang w:val="en-US" w:eastAsia="zh-CN"/>
        </w:rPr>
        <w:t>结论应当为</w:t>
      </w:r>
      <w:r>
        <w:rPr>
          <w:rFonts w:hint="eastAsia" w:ascii="仿宋_GB2312" w:eastAsia="仿宋_GB2312"/>
          <w:sz w:val="30"/>
          <w:szCs w:val="30"/>
        </w:rPr>
        <w:t>不通过：</w:t>
      </w:r>
    </w:p>
    <w:p>
      <w:pPr>
        <w:numPr>
          <w:ilvl w:val="0"/>
          <w:numId w:val="0"/>
        </w:numPr>
        <w:autoSpaceDE w:val="0"/>
        <w:autoSpaceDN w:val="0"/>
        <w:adjustRightInd w:val="0"/>
        <w:snapToGrid/>
        <w:spacing w:line="360" w:lineRule="auto"/>
        <w:ind w:firstLine="600" w:firstLineChars="200"/>
        <w:jc w:val="both"/>
        <w:outlineLvl w:val="9"/>
        <w:rPr>
          <w:rFonts w:hint="eastAsia" w:ascii="仿宋_GB2312" w:hAnsi="Times New Roman" w:eastAsia="仿宋_GB2312" w:cs="Times New Roman"/>
          <w:sz w:val="30"/>
          <w:szCs w:val="24"/>
        </w:rPr>
      </w:pPr>
      <w:r>
        <w:rPr>
          <w:rFonts w:hint="eastAsia" w:ascii="仿宋_GB2312" w:hAnsi="Times New Roman" w:eastAsia="仿宋_GB2312" w:cs="Times New Roman"/>
          <w:sz w:val="30"/>
          <w:lang w:eastAsia="zh-CN"/>
        </w:rPr>
        <w:t>（</w:t>
      </w:r>
      <w:r>
        <w:rPr>
          <w:rFonts w:hint="eastAsia" w:ascii="仿宋_GB2312" w:hAnsi="Times New Roman" w:eastAsia="仿宋_GB2312" w:cs="Times New Roman"/>
          <w:sz w:val="30"/>
          <w:lang w:val="en-US" w:eastAsia="zh-CN"/>
        </w:rPr>
        <w:t>一</w:t>
      </w:r>
      <w:r>
        <w:rPr>
          <w:rFonts w:hint="eastAsia" w:ascii="仿宋_GB2312" w:hAnsi="Times New Roman" w:eastAsia="仿宋_GB2312" w:cs="Times New Roman"/>
          <w:sz w:val="30"/>
          <w:lang w:eastAsia="zh-CN"/>
        </w:rPr>
        <w:t>）</w:t>
      </w:r>
      <w:r>
        <w:rPr>
          <w:rFonts w:hint="eastAsia" w:ascii="仿宋_GB2312" w:hAnsi="Times New Roman" w:eastAsia="仿宋_GB2312" w:cs="Times New Roman"/>
          <w:color w:val="auto"/>
          <w:sz w:val="30"/>
          <w:szCs w:val="24"/>
        </w:rPr>
        <w:t>制造商在设备检验过程存在弄虚作假的或隐瞒真实情况等行为获得设备通告的</w:t>
      </w:r>
      <w:r>
        <w:rPr>
          <w:rFonts w:hint="eastAsia" w:ascii="仿宋_GB2312" w:hAnsi="Times New Roman" w:eastAsia="仿宋_GB2312" w:cs="Times New Roman"/>
          <w:sz w:val="30"/>
          <w:szCs w:val="24"/>
          <w:lang w:eastAsia="zh-CN"/>
        </w:rPr>
        <w:t>；</w:t>
      </w:r>
    </w:p>
    <w:p>
      <w:pPr>
        <w:numPr>
          <w:ilvl w:val="0"/>
          <w:numId w:val="0"/>
        </w:numPr>
        <w:autoSpaceDE w:val="0"/>
        <w:autoSpaceDN w:val="0"/>
        <w:adjustRightInd w:val="0"/>
        <w:spacing w:line="360" w:lineRule="auto"/>
        <w:ind w:firstLine="600" w:firstLineChars="200"/>
        <w:jc w:val="both"/>
        <w:outlineLvl w:val="9"/>
        <w:rPr>
          <w:rFonts w:hint="eastAsia" w:ascii="仿宋_GB2312" w:hAnsi="Times New Roman" w:eastAsia="仿宋_GB2312" w:cs="Times New Roman"/>
          <w:sz w:val="30"/>
        </w:rPr>
      </w:pPr>
      <w:r>
        <w:rPr>
          <w:rFonts w:hint="eastAsia" w:ascii="仿宋_GB2312" w:hAnsi="Times New Roman" w:eastAsia="仿宋_GB2312" w:cs="Times New Roman"/>
          <w:sz w:val="30"/>
          <w:lang w:eastAsia="zh-CN"/>
        </w:rPr>
        <w:t>（</w:t>
      </w:r>
      <w:r>
        <w:rPr>
          <w:rFonts w:hint="eastAsia" w:ascii="仿宋_GB2312" w:hAnsi="Times New Roman" w:eastAsia="仿宋_GB2312" w:cs="Times New Roman"/>
          <w:sz w:val="30"/>
          <w:lang w:val="en-US" w:eastAsia="zh-CN"/>
        </w:rPr>
        <w:t>二</w:t>
      </w:r>
      <w:r>
        <w:rPr>
          <w:rFonts w:hint="eastAsia" w:ascii="仿宋_GB2312" w:hAnsi="Times New Roman" w:eastAsia="仿宋_GB2312" w:cs="Times New Roman"/>
          <w:sz w:val="30"/>
          <w:lang w:eastAsia="zh-CN"/>
        </w:rPr>
        <w:t>）</w:t>
      </w:r>
      <w:r>
        <w:rPr>
          <w:rFonts w:hint="eastAsia" w:ascii="仿宋_GB2312" w:hAnsi="Times New Roman" w:eastAsia="仿宋_GB2312" w:cs="Times New Roman"/>
          <w:color w:val="auto"/>
          <w:sz w:val="30"/>
          <w:szCs w:val="24"/>
        </w:rPr>
        <w:t>制造商在</w:t>
      </w:r>
      <w:r>
        <w:rPr>
          <w:rFonts w:hint="eastAsia" w:ascii="仿宋_GB2312" w:hAnsi="Times New Roman" w:eastAsia="仿宋_GB2312" w:cs="Times New Roman"/>
          <w:color w:val="auto"/>
          <w:sz w:val="30"/>
          <w:szCs w:val="24"/>
          <w:lang w:val="en-US" w:eastAsia="zh-CN"/>
        </w:rPr>
        <w:t>通告有效期内发生企业名称、地址变更等情况，或发生重大变更逾期未告知检验机构的；</w:t>
      </w:r>
    </w:p>
    <w:p>
      <w:pPr>
        <w:numPr>
          <w:ilvl w:val="0"/>
          <w:numId w:val="0"/>
        </w:numPr>
        <w:autoSpaceDE w:val="0"/>
        <w:autoSpaceDN w:val="0"/>
        <w:adjustRightInd w:val="0"/>
        <w:spacing w:line="360" w:lineRule="auto"/>
        <w:ind w:firstLine="600" w:firstLineChars="200"/>
        <w:jc w:val="both"/>
        <w:outlineLvl w:val="9"/>
        <w:rPr>
          <w:rFonts w:hint="eastAsia" w:ascii="仿宋_GB2312" w:hAnsi="Times New Roman" w:eastAsia="仿宋_GB2312" w:cs="Times New Roman"/>
          <w:sz w:val="30"/>
        </w:rPr>
      </w:pPr>
      <w:r>
        <w:rPr>
          <w:rFonts w:hint="eastAsia" w:ascii="仿宋_GB2312" w:hAnsi="Times New Roman" w:eastAsia="仿宋_GB2312" w:cs="Times New Roman"/>
          <w:sz w:val="30"/>
          <w:lang w:eastAsia="zh-CN"/>
        </w:rPr>
        <w:t>（</w:t>
      </w:r>
      <w:r>
        <w:rPr>
          <w:rFonts w:hint="eastAsia" w:ascii="仿宋_GB2312" w:hAnsi="Times New Roman" w:eastAsia="仿宋_GB2312" w:cs="Times New Roman"/>
          <w:sz w:val="30"/>
          <w:lang w:val="en-US" w:eastAsia="zh-CN"/>
        </w:rPr>
        <w:t>三</w:t>
      </w:r>
      <w:r>
        <w:rPr>
          <w:rFonts w:hint="eastAsia" w:ascii="仿宋_GB2312" w:hAnsi="Times New Roman" w:eastAsia="仿宋_GB2312" w:cs="Times New Roman"/>
          <w:sz w:val="30"/>
          <w:lang w:eastAsia="zh-CN"/>
        </w:rPr>
        <w:t>）</w:t>
      </w:r>
      <w:r>
        <w:rPr>
          <w:rFonts w:hint="eastAsia" w:ascii="仿宋_GB2312" w:hAnsi="Times New Roman" w:eastAsia="仿宋_GB2312" w:cs="Times New Roman"/>
          <w:color w:val="auto"/>
          <w:sz w:val="30"/>
          <w:szCs w:val="24"/>
        </w:rPr>
        <w:t>工作场所面积不足 1000 平方米，缺少符合标准规定的出厂检验设备的</w:t>
      </w:r>
      <w:r>
        <w:rPr>
          <w:rFonts w:hint="eastAsia" w:ascii="仿宋_GB2312" w:hAnsi="Times New Roman" w:eastAsia="仿宋_GB2312" w:cs="Times New Roman"/>
          <w:color w:val="auto"/>
          <w:sz w:val="30"/>
          <w:szCs w:val="24"/>
          <w:lang w:eastAsia="zh-CN"/>
        </w:rPr>
        <w:t>；</w:t>
      </w:r>
    </w:p>
    <w:p>
      <w:pPr>
        <w:numPr>
          <w:ilvl w:val="0"/>
          <w:numId w:val="0"/>
        </w:numPr>
        <w:autoSpaceDE w:val="0"/>
        <w:autoSpaceDN w:val="0"/>
        <w:adjustRightInd w:val="0"/>
        <w:spacing w:line="360" w:lineRule="auto"/>
        <w:ind w:firstLine="600" w:firstLineChars="200"/>
        <w:jc w:val="both"/>
        <w:outlineLvl w:val="9"/>
        <w:rPr>
          <w:rFonts w:hint="eastAsia" w:ascii="仿宋_GB2312" w:hAnsi="Times New Roman" w:eastAsia="仿宋_GB2312" w:cs="Times New Roman"/>
          <w:sz w:val="30"/>
        </w:rPr>
      </w:pPr>
      <w:r>
        <w:rPr>
          <w:rFonts w:hint="eastAsia" w:ascii="仿宋_GB2312" w:hAnsi="Times New Roman" w:eastAsia="仿宋_GB2312" w:cs="Times New Roman"/>
          <w:sz w:val="30"/>
          <w:lang w:eastAsia="zh-CN"/>
        </w:rPr>
        <w:t>（</w:t>
      </w:r>
      <w:r>
        <w:rPr>
          <w:rFonts w:hint="eastAsia" w:ascii="仿宋_GB2312" w:hAnsi="Times New Roman" w:eastAsia="仿宋_GB2312" w:cs="Times New Roman"/>
          <w:sz w:val="30"/>
          <w:lang w:val="en-US" w:eastAsia="zh-CN"/>
        </w:rPr>
        <w:t>四</w:t>
      </w:r>
      <w:r>
        <w:rPr>
          <w:rFonts w:hint="eastAsia" w:ascii="仿宋_GB2312" w:hAnsi="Times New Roman" w:eastAsia="仿宋_GB2312" w:cs="Times New Roman"/>
          <w:sz w:val="30"/>
          <w:lang w:eastAsia="zh-CN"/>
        </w:rPr>
        <w:t>）</w:t>
      </w:r>
      <w:r>
        <w:rPr>
          <w:rFonts w:hint="eastAsia" w:ascii="仿宋_GB2312" w:hAnsi="Times New Roman" w:eastAsia="仿宋_GB2312" w:cs="Times New Roman"/>
          <w:color w:val="auto"/>
          <w:sz w:val="30"/>
          <w:szCs w:val="24"/>
        </w:rPr>
        <w:t>制造商人员能力已不满足制造商设计、生产、检验及销售等要求的</w:t>
      </w:r>
      <w:r>
        <w:rPr>
          <w:rFonts w:hint="eastAsia" w:ascii="仿宋_GB2312" w:hAnsi="Times New Roman" w:eastAsia="仿宋_GB2312" w:cs="Times New Roman"/>
          <w:color w:val="auto"/>
          <w:sz w:val="30"/>
          <w:szCs w:val="24"/>
          <w:lang w:eastAsia="zh-CN"/>
        </w:rPr>
        <w:t>。</w:t>
      </w:r>
    </w:p>
    <w:p>
      <w:pPr>
        <w:numPr>
          <w:ilvl w:val="0"/>
          <w:numId w:val="0"/>
        </w:numPr>
        <w:autoSpaceDE w:val="0"/>
        <w:autoSpaceDN w:val="0"/>
        <w:adjustRightInd w:val="0"/>
        <w:spacing w:line="360" w:lineRule="auto"/>
        <w:ind w:firstLine="600" w:firstLineChars="200"/>
        <w:jc w:val="both"/>
        <w:outlineLvl w:val="9"/>
        <w:rPr>
          <w:rFonts w:hint="eastAsia" w:ascii="仿宋_GB2312" w:hAnsi="Times New Roman" w:eastAsia="仿宋_GB2312" w:cs="Times New Roman"/>
          <w:sz w:val="30"/>
        </w:rPr>
      </w:pPr>
      <w:r>
        <w:rPr>
          <w:rFonts w:hint="eastAsia" w:ascii="仿宋_GB2312" w:hAnsi="Times New Roman" w:eastAsia="仿宋_GB2312" w:cs="Times New Roman"/>
          <w:sz w:val="30"/>
          <w:lang w:eastAsia="zh-CN"/>
        </w:rPr>
        <w:t>（</w:t>
      </w:r>
      <w:r>
        <w:rPr>
          <w:rFonts w:hint="eastAsia" w:ascii="仿宋_GB2312" w:hAnsi="Times New Roman" w:eastAsia="仿宋_GB2312" w:cs="Times New Roman"/>
          <w:sz w:val="30"/>
          <w:lang w:val="en-US" w:eastAsia="zh-CN"/>
        </w:rPr>
        <w:t>五</w:t>
      </w:r>
      <w:r>
        <w:rPr>
          <w:rFonts w:hint="eastAsia" w:ascii="仿宋_GB2312" w:hAnsi="Times New Roman" w:eastAsia="仿宋_GB2312" w:cs="Times New Roman"/>
          <w:sz w:val="30"/>
          <w:lang w:eastAsia="zh-CN"/>
        </w:rPr>
        <w:t>）</w:t>
      </w:r>
      <w:r>
        <w:rPr>
          <w:rFonts w:hint="eastAsia" w:ascii="仿宋_GB2312" w:hAnsi="Times New Roman" w:eastAsia="仿宋_GB2312" w:cs="Times New Roman"/>
          <w:color w:val="auto"/>
          <w:sz w:val="30"/>
          <w:szCs w:val="24"/>
        </w:rPr>
        <w:t>关键部件、图纸、清单与申请书和备案信息不一致的</w:t>
      </w:r>
      <w:r>
        <w:rPr>
          <w:rFonts w:hint="eastAsia" w:ascii="仿宋_GB2312" w:hAnsi="Times New Roman" w:eastAsia="仿宋_GB2312" w:cs="Times New Roman"/>
          <w:color w:val="auto"/>
          <w:sz w:val="30"/>
          <w:szCs w:val="24"/>
          <w:lang w:eastAsia="zh-CN"/>
        </w:rPr>
        <w:t>。</w:t>
      </w:r>
    </w:p>
    <w:p>
      <w:pPr>
        <w:numPr>
          <w:ilvl w:val="0"/>
          <w:numId w:val="0"/>
        </w:numPr>
        <w:autoSpaceDE w:val="0"/>
        <w:autoSpaceDN w:val="0"/>
        <w:adjustRightInd w:val="0"/>
        <w:spacing w:line="360" w:lineRule="auto"/>
        <w:ind w:firstLine="600" w:firstLineChars="200"/>
        <w:jc w:val="both"/>
        <w:outlineLvl w:val="9"/>
        <w:rPr>
          <w:rFonts w:hint="eastAsia" w:ascii="仿宋_GB2312" w:hAnsi="Times New Roman" w:eastAsia="仿宋_GB2312" w:cs="Times New Roman"/>
          <w:sz w:val="30"/>
        </w:rPr>
      </w:pPr>
      <w:r>
        <w:rPr>
          <w:rFonts w:hint="eastAsia" w:ascii="仿宋_GB2312" w:hAnsi="Times New Roman" w:eastAsia="仿宋_GB2312" w:cs="Times New Roman"/>
          <w:sz w:val="30"/>
          <w:lang w:eastAsia="zh-CN"/>
        </w:rPr>
        <w:t>（</w:t>
      </w:r>
      <w:r>
        <w:rPr>
          <w:rFonts w:hint="eastAsia" w:ascii="仿宋_GB2312" w:hAnsi="Times New Roman" w:eastAsia="仿宋_GB2312" w:cs="Times New Roman"/>
          <w:sz w:val="30"/>
          <w:lang w:val="en-US" w:eastAsia="zh-CN"/>
        </w:rPr>
        <w:t>六</w:t>
      </w:r>
      <w:r>
        <w:rPr>
          <w:rFonts w:hint="eastAsia" w:ascii="仿宋_GB2312" w:hAnsi="Times New Roman" w:eastAsia="仿宋_GB2312" w:cs="Times New Roman"/>
          <w:sz w:val="30"/>
          <w:lang w:eastAsia="zh-CN"/>
        </w:rPr>
        <w:t>）</w:t>
      </w:r>
      <w:r>
        <w:rPr>
          <w:rFonts w:hint="eastAsia" w:ascii="仿宋_GB2312" w:hAnsi="Times New Roman" w:eastAsia="仿宋_GB2312" w:cs="Times New Roman"/>
          <w:color w:val="auto"/>
          <w:sz w:val="30"/>
          <w:szCs w:val="24"/>
        </w:rPr>
        <w:t>制造商因自身原因不再从事生产机场设备，主动放弃机场设备通告或被依法撤销设立登记或者吊销营业执照</w:t>
      </w:r>
      <w:r>
        <w:rPr>
          <w:rFonts w:hint="eastAsia" w:ascii="仿宋_GB2312" w:hAnsi="Times New Roman" w:eastAsia="仿宋_GB2312" w:cs="Times New Roman"/>
          <w:color w:val="auto"/>
          <w:sz w:val="30"/>
          <w:szCs w:val="24"/>
          <w:lang w:eastAsia="zh-CN"/>
        </w:rPr>
        <w:t>。</w:t>
      </w:r>
    </w:p>
    <w:p>
      <w:pPr>
        <w:numPr>
          <w:ilvl w:val="0"/>
          <w:numId w:val="0"/>
        </w:numPr>
        <w:autoSpaceDE w:val="0"/>
        <w:autoSpaceDN w:val="0"/>
        <w:adjustRightInd w:val="0"/>
        <w:snapToGrid/>
        <w:spacing w:line="360" w:lineRule="auto"/>
        <w:ind w:firstLine="600" w:firstLineChars="200"/>
        <w:jc w:val="both"/>
        <w:outlineLvl w:val="9"/>
        <w:rPr>
          <w:rFonts w:hint="eastAsia" w:ascii="仿宋_GB2312" w:hAnsi="Times New Roman" w:eastAsia="仿宋_GB2312"/>
          <w:color w:val="auto"/>
          <w:sz w:val="30"/>
          <w:szCs w:val="30"/>
          <w:highlight w:val="none"/>
          <w:lang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七</w:t>
      </w:r>
      <w:r>
        <w:rPr>
          <w:rFonts w:hint="eastAsia" w:ascii="仿宋_GB2312" w:eastAsia="仿宋_GB2312"/>
          <w:sz w:val="30"/>
          <w:szCs w:val="30"/>
          <w:lang w:eastAsia="zh-CN"/>
        </w:rPr>
        <w:t>）</w:t>
      </w:r>
      <w:r>
        <w:rPr>
          <w:rFonts w:hint="eastAsia" w:ascii="仿宋_GB2312" w:hAnsi="Times New Roman" w:eastAsia="仿宋_GB2312"/>
          <w:color w:val="auto"/>
          <w:sz w:val="30"/>
          <w:szCs w:val="30"/>
          <w:highlight w:val="none"/>
        </w:rPr>
        <w:t>现场审核发现制造商出现</w:t>
      </w:r>
      <w:r>
        <w:rPr>
          <w:rFonts w:hint="eastAsia" w:ascii="仿宋_GB2312" w:hAnsi="Times New Roman" w:eastAsia="仿宋_GB2312"/>
          <w:color w:val="auto"/>
          <w:sz w:val="30"/>
          <w:szCs w:val="30"/>
          <w:highlight w:val="none"/>
          <w:lang w:val="en-US" w:eastAsia="zh-CN"/>
        </w:rPr>
        <w:t>系统性的</w:t>
      </w:r>
      <w:r>
        <w:rPr>
          <w:rFonts w:hint="eastAsia" w:ascii="仿宋_GB2312" w:hAnsi="Times New Roman" w:eastAsia="仿宋_GB2312"/>
          <w:color w:val="auto"/>
          <w:sz w:val="30"/>
          <w:szCs w:val="30"/>
          <w:highlight w:val="none"/>
        </w:rPr>
        <w:t>、</w:t>
      </w:r>
      <w:r>
        <w:rPr>
          <w:rFonts w:hint="eastAsia" w:ascii="仿宋_GB2312" w:hAnsi="Times New Roman" w:eastAsia="仿宋_GB2312"/>
          <w:color w:val="auto"/>
          <w:sz w:val="30"/>
          <w:szCs w:val="30"/>
          <w:highlight w:val="none"/>
          <w:lang w:val="en-US" w:eastAsia="zh-CN"/>
        </w:rPr>
        <w:t>区域性</w:t>
      </w:r>
      <w:r>
        <w:rPr>
          <w:rFonts w:hint="eastAsia" w:ascii="仿宋_GB2312" w:hAnsi="Times New Roman" w:eastAsia="仿宋_GB2312"/>
          <w:color w:val="auto"/>
          <w:sz w:val="30"/>
          <w:szCs w:val="30"/>
          <w:highlight w:val="none"/>
        </w:rPr>
        <w:t>的对产品质量、质量管理体系有效运行有严重影响的</w:t>
      </w:r>
      <w:r>
        <w:rPr>
          <w:rFonts w:hint="eastAsia" w:ascii="仿宋_GB2312" w:hAnsi="Times New Roman" w:eastAsia="仿宋_GB2312"/>
          <w:color w:val="auto"/>
          <w:sz w:val="30"/>
          <w:szCs w:val="30"/>
          <w:highlight w:val="none"/>
          <w:lang w:val="en-US" w:eastAsia="zh-CN"/>
        </w:rPr>
        <w:t>或</w:t>
      </w:r>
      <w:r>
        <w:rPr>
          <w:rFonts w:hint="eastAsia" w:ascii="仿宋_GB2312" w:hAnsi="仿宋_GB2312" w:eastAsia="仿宋_GB2312" w:cs="仿宋_GB2312"/>
          <w:color w:val="auto"/>
          <w:sz w:val="30"/>
          <w:szCs w:val="30"/>
        </w:rPr>
        <w:t>质量体系未有效实施造成失控</w:t>
      </w:r>
      <w:r>
        <w:rPr>
          <w:rFonts w:hint="eastAsia" w:ascii="仿宋_GB2312" w:hAnsi="仿宋_GB2312" w:eastAsia="仿宋_GB2312" w:cs="仿宋_GB2312"/>
          <w:color w:val="auto"/>
          <w:sz w:val="30"/>
          <w:szCs w:val="30"/>
          <w:lang w:eastAsia="zh-CN"/>
        </w:rPr>
        <w:t>的</w:t>
      </w:r>
      <w:r>
        <w:rPr>
          <w:rFonts w:hint="eastAsia" w:ascii="仿宋_GB2312" w:hAnsi="Times New Roman" w:eastAsia="仿宋_GB2312"/>
          <w:color w:val="auto"/>
          <w:sz w:val="30"/>
          <w:szCs w:val="30"/>
          <w:highlight w:val="none"/>
          <w:lang w:eastAsia="zh-CN"/>
        </w:rPr>
        <w:t>；</w:t>
      </w:r>
    </w:p>
    <w:p>
      <w:pPr>
        <w:numPr>
          <w:ilvl w:val="0"/>
          <w:numId w:val="0"/>
        </w:numPr>
        <w:autoSpaceDE w:val="0"/>
        <w:autoSpaceDN w:val="0"/>
        <w:adjustRightInd w:val="0"/>
        <w:snapToGrid/>
        <w:spacing w:line="360" w:lineRule="auto"/>
        <w:ind w:firstLine="600" w:firstLineChars="200"/>
        <w:jc w:val="both"/>
        <w:outlineLvl w:val="9"/>
        <w:rPr>
          <w:rFonts w:hint="eastAsia" w:ascii="仿宋_GB2312" w:eastAsia="仿宋_GB2312"/>
          <w:sz w:val="30"/>
          <w:szCs w:val="30"/>
        </w:rPr>
      </w:pPr>
      <w:r>
        <w:rPr>
          <w:rFonts w:hint="eastAsia" w:ascii="仿宋_GB2312" w:eastAsia="仿宋_GB2312"/>
          <w:sz w:val="30"/>
        </w:rPr>
        <w:t>（</w:t>
      </w:r>
      <w:r>
        <w:rPr>
          <w:rFonts w:hint="eastAsia" w:ascii="仿宋_GB2312" w:eastAsia="仿宋_GB2312"/>
          <w:sz w:val="30"/>
          <w:lang w:val="en-US" w:eastAsia="zh-CN"/>
        </w:rPr>
        <w:t>八</w:t>
      </w:r>
      <w:r>
        <w:rPr>
          <w:rFonts w:hint="eastAsia" w:ascii="仿宋_GB2312" w:eastAsia="仿宋_GB2312"/>
          <w:sz w:val="30"/>
        </w:rPr>
        <w:t>）</w:t>
      </w:r>
      <w:r>
        <w:rPr>
          <w:rFonts w:hint="eastAsia" w:ascii="仿宋_GB2312" w:eastAsia="仿宋_GB2312"/>
          <w:sz w:val="30"/>
          <w:szCs w:val="30"/>
        </w:rPr>
        <w:t>现场审核未发现制造商存在不符合项，但对制造商申请复审核的专用地面服务设备进行抽样检测时存在抽查检测项目不合格情况的</w:t>
      </w:r>
      <w:r>
        <w:rPr>
          <w:rFonts w:hint="eastAsia" w:ascii="仿宋_GB2312" w:eastAsia="仿宋_GB2312"/>
          <w:sz w:val="30"/>
          <w:szCs w:val="30"/>
          <w:lang w:eastAsia="zh-CN"/>
        </w:rPr>
        <w:t>。</w:t>
      </w:r>
    </w:p>
    <w:bookmarkEnd w:id="41"/>
    <w:p>
      <w:pPr>
        <w:numPr>
          <w:ilvl w:val="0"/>
          <w:numId w:val="0"/>
        </w:numPr>
        <w:autoSpaceDE/>
        <w:autoSpaceDN/>
        <w:adjustRightInd/>
        <w:snapToGrid/>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黑体" w:hAnsi="黑体" w:eastAsia="黑体" w:cs="黑体"/>
          <w:color w:val="auto"/>
          <w:sz w:val="30"/>
          <w:szCs w:val="30"/>
          <w:highlight w:val="none"/>
          <w:lang w:val="en-US" w:eastAsia="zh-CN"/>
        </w:rPr>
        <w:t>第四十五条</w:t>
      </w:r>
      <w:r>
        <w:rPr>
          <w:rFonts w:hint="eastAsia" w:ascii="黑体" w:hAnsi="黑体" w:eastAsia="黑体" w:cs="黑体"/>
          <w:b w:val="0"/>
          <w:bCs/>
          <w:sz w:val="30"/>
          <w:szCs w:val="30"/>
          <w:highlight w:val="none"/>
          <w:lang w:eastAsia="zh-CN"/>
        </w:rPr>
        <w:t>【</w:t>
      </w:r>
      <w:r>
        <w:rPr>
          <w:rFonts w:hint="eastAsia" w:ascii="黑体" w:hAnsi="黑体" w:eastAsia="黑体" w:cs="黑体"/>
          <w:color w:val="auto"/>
          <w:sz w:val="30"/>
          <w:szCs w:val="30"/>
          <w:highlight w:val="none"/>
          <w:lang w:val="en-US" w:eastAsia="zh-CN"/>
        </w:rPr>
        <w:t>不通过处置</w:t>
      </w:r>
      <w:r>
        <w:rPr>
          <w:rFonts w:hint="eastAsia" w:ascii="黑体" w:hAnsi="黑体" w:eastAsia="黑体" w:cs="黑体"/>
          <w:b w:val="0"/>
          <w:bCs/>
          <w:sz w:val="30"/>
          <w:szCs w:val="30"/>
          <w:highlight w:val="none"/>
          <w:lang w:eastAsia="zh-CN"/>
        </w:rPr>
        <w:t>】</w:t>
      </w:r>
      <w:r>
        <w:rPr>
          <w:rFonts w:hint="eastAsia" w:ascii="仿宋_GB2312" w:hAnsi="Times New Roman" w:eastAsia="仿宋_GB2312"/>
          <w:color w:val="auto"/>
          <w:sz w:val="30"/>
          <w:szCs w:val="30"/>
          <w:highlight w:val="none"/>
        </w:rPr>
        <w:t>检验机构</w:t>
      </w:r>
      <w:r>
        <w:rPr>
          <w:rFonts w:hint="eastAsia" w:ascii="仿宋_GB2312" w:hAnsi="Times New Roman" w:eastAsia="仿宋_GB2312"/>
          <w:color w:val="auto"/>
          <w:sz w:val="30"/>
          <w:szCs w:val="30"/>
          <w:highlight w:val="none"/>
          <w:lang w:val="en-US" w:eastAsia="zh-CN"/>
        </w:rPr>
        <w:t>出具</w:t>
      </w:r>
      <w:r>
        <w:rPr>
          <w:rFonts w:hint="eastAsia" w:ascii="仿宋_GB2312" w:hAnsi="Times New Roman" w:eastAsia="仿宋_GB2312"/>
          <w:color w:val="auto"/>
          <w:sz w:val="30"/>
          <w:szCs w:val="30"/>
          <w:highlight w:val="none"/>
        </w:rPr>
        <w:t>审核不通过的结论</w:t>
      </w:r>
      <w:r>
        <w:rPr>
          <w:rFonts w:hint="eastAsia" w:ascii="仿宋_GB2312" w:hAnsi="Times New Roman" w:eastAsia="仿宋_GB2312"/>
          <w:color w:val="auto"/>
          <w:sz w:val="30"/>
          <w:szCs w:val="30"/>
          <w:highlight w:val="none"/>
          <w:lang w:val="en-US" w:eastAsia="zh-CN"/>
        </w:rPr>
        <w:t>后</w:t>
      </w:r>
      <w:r>
        <w:rPr>
          <w:rFonts w:hint="eastAsia" w:ascii="仿宋_GB2312" w:hAnsi="Times New Roman" w:eastAsia="仿宋_GB2312"/>
          <w:color w:val="auto"/>
          <w:sz w:val="30"/>
          <w:szCs w:val="30"/>
          <w:highlight w:val="none"/>
        </w:rPr>
        <w:t>，</w:t>
      </w:r>
      <w:r>
        <w:rPr>
          <w:rFonts w:hint="eastAsia" w:ascii="仿宋_GB2312" w:hAnsi="Times New Roman" w:eastAsia="仿宋_GB2312"/>
          <w:color w:val="auto"/>
          <w:sz w:val="30"/>
          <w:szCs w:val="30"/>
          <w:highlight w:val="none"/>
          <w:lang w:val="en-US" w:eastAsia="zh-CN"/>
        </w:rPr>
        <w:t>应当</w:t>
      </w:r>
      <w:r>
        <w:rPr>
          <w:rFonts w:hint="eastAsia" w:ascii="仿宋_GB2312" w:hAnsi="Times New Roman" w:eastAsia="仿宋_GB2312"/>
          <w:color w:val="auto"/>
          <w:sz w:val="30"/>
          <w:szCs w:val="30"/>
          <w:highlight w:val="none"/>
        </w:rPr>
        <w:t>及时报告民航局，同时撤销该机场设备通告。</w:t>
      </w:r>
    </w:p>
    <w:p>
      <w:pPr>
        <w:numPr>
          <w:ilvl w:val="0"/>
          <w:numId w:val="0"/>
        </w:numPr>
        <w:spacing w:line="360" w:lineRule="auto"/>
        <w:ind w:firstLine="600" w:firstLineChars="200"/>
        <w:jc w:val="both"/>
        <w:outlineLvl w:val="1"/>
        <w:rPr>
          <w:rFonts w:hint="eastAsia" w:ascii="仿宋_GB2312" w:hAnsi="Times New Roman" w:eastAsia="仿宋_GB2312"/>
          <w:color w:val="auto"/>
          <w:sz w:val="30"/>
          <w:szCs w:val="30"/>
          <w:highlight w:val="none"/>
        </w:rPr>
      </w:pPr>
      <w:r>
        <w:rPr>
          <w:rFonts w:hint="eastAsia" w:ascii="仿宋_GB2312" w:hAnsi="Times New Roman" w:eastAsia="仿宋_GB2312"/>
          <w:color w:val="auto"/>
          <w:sz w:val="30"/>
          <w:szCs w:val="30"/>
          <w:highlight w:val="none"/>
          <w:lang w:val="en-US" w:eastAsia="zh-CN"/>
        </w:rPr>
        <w:t>在质量一致性复审中，发生抽检样品检测不合格，或者存在质量一致性关键否决项目未通过的情形时，检验机构应当作出审核不合格的结论，并及时报告民航局，同时撤销该机场设备通告。</w:t>
      </w:r>
      <w:r>
        <w:rPr>
          <w:rFonts w:hint="eastAsia" w:ascii="仿宋_GB2312" w:hAnsi="Times New Roman" w:eastAsia="仿宋_GB2312"/>
          <w:color w:val="auto"/>
          <w:sz w:val="30"/>
          <w:szCs w:val="30"/>
          <w:highlight w:val="none"/>
        </w:rPr>
        <w:t>因质量一致性复审不通过撤销设备通告的，制造商申请重新检验时，检验机构可以仅针对不符合项目以及与其相关联的项目开展核查，也可以根据实际需要增加检验内容，经检验合格的，应当按程序申请恢复通告。</w:t>
      </w:r>
    </w:p>
    <w:p>
      <w:pPr>
        <w:numPr>
          <w:ilvl w:val="-1"/>
          <w:numId w:val="0"/>
        </w:numPr>
        <w:spacing w:line="240" w:lineRule="auto"/>
        <w:ind w:firstLine="0" w:firstLineChars="0"/>
        <w:jc w:val="left"/>
        <w:outlineLvl w:val="9"/>
        <w:rPr>
          <w:rFonts w:hint="eastAsia" w:ascii="仿宋_GB2312" w:hAnsi="Times New Roman" w:eastAsia="仿宋_GB2312"/>
          <w:color w:val="auto"/>
          <w:sz w:val="30"/>
          <w:szCs w:val="30"/>
          <w:highlight w:val="none"/>
        </w:rPr>
      </w:pPr>
    </w:p>
    <w:sectPr>
      <w:headerReference r:id="rId4" w:type="default"/>
      <w:footerReference r:id="rId5" w:type="default"/>
      <w:pgSz w:w="11907" w:h="16840"/>
      <w:pgMar w:top="1888" w:right="1287" w:bottom="1440" w:left="1803" w:header="1134" w:footer="284" w:gutter="0"/>
      <w:pgNumType w:start="1"/>
      <w:cols w:space="720" w:num="1"/>
      <w:docGrid w:type="linesAndChars" w:linePitch="4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F9AE4E-8619-4702-AA34-7F208B12D2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305E98B-0AC4-4DF5-B021-FC16878AC10F}"/>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00000001" w:usb1="08000000" w:usb2="00000000" w:usb3="00000000" w:csb0="00040000" w:csb1="00000000"/>
    <w:embedRegular r:id="rId3" w:fontKey="{D0E79DA4-29F2-4ED4-B7B9-E52F6A87EDCF}"/>
  </w:font>
  <w:font w:name="华文中宋">
    <w:panose1 w:val="02010600040101010101"/>
    <w:charset w:val="86"/>
    <w:family w:val="auto"/>
    <w:pitch w:val="default"/>
    <w:sig w:usb0="00000287" w:usb1="080F0000" w:usb2="00000000" w:usb3="00000000" w:csb0="0004009F" w:csb1="DFD70000"/>
    <w:embedRegular r:id="rId4" w:fontKey="{490B6E86-4B73-42C0-94DB-AB9ACA709EBC}"/>
  </w:font>
  <w:font w:name="仿宋_GB2312">
    <w:panose1 w:val="02010609030101010101"/>
    <w:charset w:val="86"/>
    <w:family w:val="modern"/>
    <w:pitch w:val="default"/>
    <w:sig w:usb0="00000001" w:usb1="080E0000" w:usb2="00000000" w:usb3="00000000" w:csb0="00040000" w:csb1="00000000"/>
    <w:embedRegular r:id="rId5" w:fontKey="{D88F49A3-0C0D-474F-9D30-DB36E66802E2}"/>
  </w:font>
  <w:font w:name="方正小标宋_GBK">
    <w:panose1 w:val="02000000000000000000"/>
    <w:charset w:val="86"/>
    <w:family w:val="auto"/>
    <w:pitch w:val="default"/>
    <w:sig w:usb0="A00002BF" w:usb1="38CF7CFA" w:usb2="00082016" w:usb3="00000000" w:csb0="00040001" w:csb1="00000000"/>
    <w:embedRegular r:id="rId6" w:fontKey="{BB7BD45D-DB83-40FC-856B-C49DAF8706F4}"/>
  </w:font>
  <w:font w:name="Cambria">
    <w:panose1 w:val="02040503050406030204"/>
    <w:charset w:val="00"/>
    <w:family w:val="roman"/>
    <w:pitch w:val="default"/>
    <w:sig w:usb0="E00006FF" w:usb1="420024FF" w:usb2="02000000" w:usb3="00000000" w:csb0="2000019F" w:csb1="00000000"/>
    <w:embedRegular r:id="rId7" w:fontKey="{C9E87300-E5A1-4B6A-9979-2419B10A589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Cambria" w:hAnsi="Cambria"/>
        <w:sz w:val="28"/>
        <w:szCs w:val="28"/>
      </w:rPr>
    </w:pPr>
    <w:r>
      <w:rPr>
        <w:rFonts w:hint="eastAsia" w:ascii="Cambria" w:hAnsi="Cambria"/>
        <w:sz w:val="28"/>
        <w:szCs w:val="28"/>
        <w:lang w:val="zh-CN"/>
      </w:rPr>
      <w:t>—</w:t>
    </w:r>
    <w:r>
      <w:rPr>
        <w:rFonts w:ascii="Cambria" w:hAnsi="Cambria"/>
        <w:sz w:val="28"/>
        <w:szCs w:val="28"/>
        <w:lang w:val="zh-CN"/>
      </w:rPr>
      <w:t xml:space="preserve"> </w:t>
    </w:r>
    <w:r>
      <w:rPr>
        <w:sz w:val="22"/>
        <w:szCs w:val="21"/>
      </w:rPr>
      <w:fldChar w:fldCharType="begin"/>
    </w:r>
    <w:r>
      <w:instrText xml:space="preserve">PAGE    \* MERGEFORMAT</w:instrText>
    </w:r>
    <w:r>
      <w:rPr>
        <w:sz w:val="22"/>
        <w:szCs w:val="21"/>
      </w:rPr>
      <w:fldChar w:fldCharType="separate"/>
    </w:r>
    <w:r>
      <w:rPr>
        <w:rFonts w:ascii="Cambria" w:hAnsi="Cambria"/>
        <w:sz w:val="28"/>
        <w:szCs w:val="28"/>
        <w:lang w:val="zh-CN"/>
      </w:rPr>
      <w:t>4</w:t>
    </w:r>
    <w:r>
      <w:rPr>
        <w:rFonts w:ascii="Cambria" w:hAnsi="Cambria"/>
        <w:sz w:val="28"/>
        <w:szCs w:val="28"/>
      </w:rPr>
      <w:fldChar w:fldCharType="end"/>
    </w:r>
    <w:r>
      <w:rPr>
        <w:rFonts w:ascii="Cambria" w:hAnsi="Cambria"/>
        <w:sz w:val="28"/>
        <w:szCs w:val="28"/>
        <w:lang w:val="zh-CN"/>
      </w:rPr>
      <w:t xml:space="preserve"> </w:t>
    </w:r>
    <w:r>
      <w:rPr>
        <w:rFonts w:hint="eastAsia" w:ascii="Cambria" w:hAnsi="Cambria"/>
        <w:sz w:val="28"/>
        <w:szCs w:val="28"/>
        <w:lang w:val="zh-CN"/>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Cambria" w:hAnsi="Cambria"/>
        <w:sz w:val="28"/>
        <w:szCs w:val="28"/>
      </w:rPr>
    </w:pPr>
    <w:r>
      <w:rPr>
        <w:rFonts w:hint="eastAsia" w:ascii="Cambria" w:hAnsi="Cambria"/>
        <w:sz w:val="28"/>
        <w:szCs w:val="28"/>
        <w:lang w:val="zh-CN"/>
      </w:rPr>
      <w:t>—</w:t>
    </w:r>
    <w:r>
      <w:rPr>
        <w:rFonts w:ascii="Cambria" w:hAnsi="Cambria"/>
        <w:sz w:val="28"/>
        <w:szCs w:val="28"/>
        <w:lang w:val="zh-CN"/>
      </w:rPr>
      <w:t xml:space="preserve"> </w:t>
    </w:r>
    <w:r>
      <w:rPr>
        <w:sz w:val="22"/>
        <w:szCs w:val="21"/>
      </w:rPr>
      <w:fldChar w:fldCharType="begin"/>
    </w:r>
    <w:r>
      <w:instrText xml:space="preserve">PAGE    \* MERGEFORMAT</w:instrText>
    </w:r>
    <w:r>
      <w:rPr>
        <w:sz w:val="22"/>
        <w:szCs w:val="21"/>
      </w:rPr>
      <w:fldChar w:fldCharType="separate"/>
    </w:r>
    <w:r>
      <w:rPr>
        <w:rFonts w:ascii="Cambria" w:hAnsi="Cambria"/>
        <w:sz w:val="28"/>
        <w:szCs w:val="28"/>
        <w:lang w:val="zh-CN"/>
      </w:rPr>
      <w:t>3</w:t>
    </w:r>
    <w:r>
      <w:rPr>
        <w:rFonts w:ascii="Cambria" w:hAnsi="Cambria"/>
        <w:sz w:val="28"/>
        <w:szCs w:val="28"/>
      </w:rPr>
      <w:fldChar w:fldCharType="end"/>
    </w:r>
    <w:r>
      <w:rPr>
        <w:rFonts w:ascii="Cambria" w:hAnsi="Cambria"/>
        <w:sz w:val="28"/>
        <w:szCs w:val="28"/>
        <w:lang w:val="zh-CN"/>
      </w:rPr>
      <w:t xml:space="preserve"> </w:t>
    </w:r>
    <w:r>
      <w:rPr>
        <w:rFonts w:hint="eastAsia" w:ascii="Cambria" w:hAnsi="Cambria"/>
        <w:sz w:val="28"/>
        <w:szCs w:val="28"/>
        <w:lang w:val="zh-CN"/>
      </w:rPr>
      <w:t>—</w:t>
    </w:r>
  </w:p>
  <w:p>
    <w:pPr>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8BB2E"/>
    <w:multiLevelType w:val="singleLevel"/>
    <w:tmpl w:val="03E8BB2E"/>
    <w:lvl w:ilvl="0" w:tentative="0">
      <w:start w:val="1"/>
      <w:numFmt w:val="chineseCounting"/>
      <w:suff w:val="nothing"/>
      <w:lvlText w:val="（%1）"/>
      <w:lvlJc w:val="left"/>
      <w:rPr>
        <w:rFonts w:hint="eastAsia" w:ascii="仿宋_GB2312" w:hAnsi="黑体" w:eastAsia="仿宋_GB2312"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evenAndOddHeaders w:val="1"/>
  <w:drawingGridHorizontalSpacing w:val="100"/>
  <w:drawingGridVerticalSpacing w:val="217"/>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YTdmNDkyY2VjM2ExNmZlYTEwM2Q4OGRiZGM5NWQifQ=="/>
    <w:docVar w:name="KSO_WPS_MARK_KEY" w:val="ecef4ba8-64e2-4b16-b136-9354554657a1"/>
  </w:docVars>
  <w:rsids>
    <w:rsidRoot w:val="003D10EB"/>
    <w:rsid w:val="000565CC"/>
    <w:rsid w:val="000744A2"/>
    <w:rsid w:val="000A24A6"/>
    <w:rsid w:val="000A3F9B"/>
    <w:rsid w:val="00113E7D"/>
    <w:rsid w:val="00117EBF"/>
    <w:rsid w:val="00155094"/>
    <w:rsid w:val="00174E7F"/>
    <w:rsid w:val="001A7CD4"/>
    <w:rsid w:val="001B190D"/>
    <w:rsid w:val="001C5C26"/>
    <w:rsid w:val="001E2552"/>
    <w:rsid w:val="001E4BFF"/>
    <w:rsid w:val="002232EF"/>
    <w:rsid w:val="0024701E"/>
    <w:rsid w:val="00286690"/>
    <w:rsid w:val="002D3F5D"/>
    <w:rsid w:val="00306BB8"/>
    <w:rsid w:val="00316C9E"/>
    <w:rsid w:val="003219B2"/>
    <w:rsid w:val="00335284"/>
    <w:rsid w:val="00362EF9"/>
    <w:rsid w:val="003D10EB"/>
    <w:rsid w:val="003E143B"/>
    <w:rsid w:val="003E4A25"/>
    <w:rsid w:val="00406F91"/>
    <w:rsid w:val="00426CEE"/>
    <w:rsid w:val="0043082D"/>
    <w:rsid w:val="004339FA"/>
    <w:rsid w:val="004618F4"/>
    <w:rsid w:val="00470CE9"/>
    <w:rsid w:val="004A5562"/>
    <w:rsid w:val="004B7B96"/>
    <w:rsid w:val="004C73F8"/>
    <w:rsid w:val="004D087B"/>
    <w:rsid w:val="004D78A2"/>
    <w:rsid w:val="004E1A3F"/>
    <w:rsid w:val="00514A78"/>
    <w:rsid w:val="0053678A"/>
    <w:rsid w:val="0054567F"/>
    <w:rsid w:val="00546918"/>
    <w:rsid w:val="00547273"/>
    <w:rsid w:val="0055518F"/>
    <w:rsid w:val="0058120F"/>
    <w:rsid w:val="00582F07"/>
    <w:rsid w:val="005A0158"/>
    <w:rsid w:val="005A1B00"/>
    <w:rsid w:val="005C7CAF"/>
    <w:rsid w:val="005D0186"/>
    <w:rsid w:val="005D0F72"/>
    <w:rsid w:val="005E1639"/>
    <w:rsid w:val="005E2BF7"/>
    <w:rsid w:val="005F0777"/>
    <w:rsid w:val="005F2951"/>
    <w:rsid w:val="006075D7"/>
    <w:rsid w:val="0062695F"/>
    <w:rsid w:val="006626A0"/>
    <w:rsid w:val="00662C08"/>
    <w:rsid w:val="00670D36"/>
    <w:rsid w:val="0068269A"/>
    <w:rsid w:val="0068612E"/>
    <w:rsid w:val="00687074"/>
    <w:rsid w:val="006A0729"/>
    <w:rsid w:val="006C2002"/>
    <w:rsid w:val="00713F59"/>
    <w:rsid w:val="007323F8"/>
    <w:rsid w:val="007703D7"/>
    <w:rsid w:val="00773B64"/>
    <w:rsid w:val="00797245"/>
    <w:rsid w:val="007B12E7"/>
    <w:rsid w:val="007C0459"/>
    <w:rsid w:val="007E267D"/>
    <w:rsid w:val="007F14F2"/>
    <w:rsid w:val="007F7D27"/>
    <w:rsid w:val="00803A5E"/>
    <w:rsid w:val="008334F4"/>
    <w:rsid w:val="00841183"/>
    <w:rsid w:val="00880BC1"/>
    <w:rsid w:val="00890AC2"/>
    <w:rsid w:val="008B66D6"/>
    <w:rsid w:val="008F3FB8"/>
    <w:rsid w:val="00922DB9"/>
    <w:rsid w:val="009317C0"/>
    <w:rsid w:val="00960971"/>
    <w:rsid w:val="00972738"/>
    <w:rsid w:val="00983A89"/>
    <w:rsid w:val="00985009"/>
    <w:rsid w:val="00985017"/>
    <w:rsid w:val="009A653A"/>
    <w:rsid w:val="009B71B4"/>
    <w:rsid w:val="009E2297"/>
    <w:rsid w:val="009E303B"/>
    <w:rsid w:val="009E4853"/>
    <w:rsid w:val="009E5347"/>
    <w:rsid w:val="009F0D48"/>
    <w:rsid w:val="00A12B1C"/>
    <w:rsid w:val="00A45E44"/>
    <w:rsid w:val="00AB2069"/>
    <w:rsid w:val="00AC5D66"/>
    <w:rsid w:val="00AD1681"/>
    <w:rsid w:val="00AD3B34"/>
    <w:rsid w:val="00AD558A"/>
    <w:rsid w:val="00AD7DE9"/>
    <w:rsid w:val="00AE36D5"/>
    <w:rsid w:val="00B01829"/>
    <w:rsid w:val="00B42042"/>
    <w:rsid w:val="00B50B9D"/>
    <w:rsid w:val="00B541DE"/>
    <w:rsid w:val="00B554FA"/>
    <w:rsid w:val="00B66BE9"/>
    <w:rsid w:val="00B81388"/>
    <w:rsid w:val="00B81AA0"/>
    <w:rsid w:val="00B943B8"/>
    <w:rsid w:val="00BC2F94"/>
    <w:rsid w:val="00BD274C"/>
    <w:rsid w:val="00BD641B"/>
    <w:rsid w:val="00BE5108"/>
    <w:rsid w:val="00BF62BA"/>
    <w:rsid w:val="00C230B3"/>
    <w:rsid w:val="00C2310D"/>
    <w:rsid w:val="00C55A9D"/>
    <w:rsid w:val="00C751C1"/>
    <w:rsid w:val="00C90508"/>
    <w:rsid w:val="00CB79C5"/>
    <w:rsid w:val="00D07198"/>
    <w:rsid w:val="00D12223"/>
    <w:rsid w:val="00D17AFF"/>
    <w:rsid w:val="00D40AA7"/>
    <w:rsid w:val="00D412B3"/>
    <w:rsid w:val="00D743B5"/>
    <w:rsid w:val="00D75434"/>
    <w:rsid w:val="00D87AA3"/>
    <w:rsid w:val="00DA4506"/>
    <w:rsid w:val="00E07021"/>
    <w:rsid w:val="00E07518"/>
    <w:rsid w:val="00E0790C"/>
    <w:rsid w:val="00E45A0E"/>
    <w:rsid w:val="00E703EF"/>
    <w:rsid w:val="00E84B5F"/>
    <w:rsid w:val="00EB4C6D"/>
    <w:rsid w:val="00F136ED"/>
    <w:rsid w:val="00F25688"/>
    <w:rsid w:val="00F54325"/>
    <w:rsid w:val="00F554C4"/>
    <w:rsid w:val="00F66AE5"/>
    <w:rsid w:val="00F757F6"/>
    <w:rsid w:val="00F85A9F"/>
    <w:rsid w:val="00F951EA"/>
    <w:rsid w:val="00FB6248"/>
    <w:rsid w:val="00FC36AF"/>
    <w:rsid w:val="00FC7F53"/>
    <w:rsid w:val="00FD20FC"/>
    <w:rsid w:val="011949CD"/>
    <w:rsid w:val="01301321"/>
    <w:rsid w:val="013B0DE8"/>
    <w:rsid w:val="015E0632"/>
    <w:rsid w:val="017165B7"/>
    <w:rsid w:val="018E08CA"/>
    <w:rsid w:val="0192652E"/>
    <w:rsid w:val="019B36B5"/>
    <w:rsid w:val="01F36FCC"/>
    <w:rsid w:val="022655F4"/>
    <w:rsid w:val="02300221"/>
    <w:rsid w:val="026B1259"/>
    <w:rsid w:val="02D768EE"/>
    <w:rsid w:val="02FF7BF3"/>
    <w:rsid w:val="031F538E"/>
    <w:rsid w:val="03373831"/>
    <w:rsid w:val="034A70C0"/>
    <w:rsid w:val="036363D4"/>
    <w:rsid w:val="036A6213"/>
    <w:rsid w:val="037B371D"/>
    <w:rsid w:val="03885E3A"/>
    <w:rsid w:val="03AD764F"/>
    <w:rsid w:val="03C230FA"/>
    <w:rsid w:val="03DA4798"/>
    <w:rsid w:val="040672EF"/>
    <w:rsid w:val="04201D4D"/>
    <w:rsid w:val="04335DA6"/>
    <w:rsid w:val="048900BC"/>
    <w:rsid w:val="04956A61"/>
    <w:rsid w:val="04A45EC1"/>
    <w:rsid w:val="04B2316F"/>
    <w:rsid w:val="053242B0"/>
    <w:rsid w:val="05654685"/>
    <w:rsid w:val="05E25CD6"/>
    <w:rsid w:val="064222D0"/>
    <w:rsid w:val="06654211"/>
    <w:rsid w:val="06A765D7"/>
    <w:rsid w:val="06AD62E4"/>
    <w:rsid w:val="06B17456"/>
    <w:rsid w:val="06B34F7C"/>
    <w:rsid w:val="06B62CBE"/>
    <w:rsid w:val="06D01FD2"/>
    <w:rsid w:val="07034156"/>
    <w:rsid w:val="070E6657"/>
    <w:rsid w:val="073F2CB4"/>
    <w:rsid w:val="075A7AEE"/>
    <w:rsid w:val="077C7A64"/>
    <w:rsid w:val="079A71A9"/>
    <w:rsid w:val="07BC2556"/>
    <w:rsid w:val="07FD2C19"/>
    <w:rsid w:val="0817778D"/>
    <w:rsid w:val="08362309"/>
    <w:rsid w:val="08A2799E"/>
    <w:rsid w:val="08E43E78"/>
    <w:rsid w:val="095C5D9F"/>
    <w:rsid w:val="09A60DC8"/>
    <w:rsid w:val="09C94AB7"/>
    <w:rsid w:val="09F71624"/>
    <w:rsid w:val="0A14667A"/>
    <w:rsid w:val="0A261F09"/>
    <w:rsid w:val="0A3665F0"/>
    <w:rsid w:val="0A742C74"/>
    <w:rsid w:val="0A9931E7"/>
    <w:rsid w:val="0B1306DF"/>
    <w:rsid w:val="0B2E5519"/>
    <w:rsid w:val="0B786794"/>
    <w:rsid w:val="0BD51E39"/>
    <w:rsid w:val="0BEC1442"/>
    <w:rsid w:val="0C2B1A59"/>
    <w:rsid w:val="0C344DB1"/>
    <w:rsid w:val="0C3721AC"/>
    <w:rsid w:val="0C7D0506"/>
    <w:rsid w:val="0CB87790"/>
    <w:rsid w:val="0CC675F5"/>
    <w:rsid w:val="0CCA74C4"/>
    <w:rsid w:val="0CDD0FA5"/>
    <w:rsid w:val="0CE57E5A"/>
    <w:rsid w:val="0D307327"/>
    <w:rsid w:val="0D4E1EA3"/>
    <w:rsid w:val="0DB209CA"/>
    <w:rsid w:val="0E16198F"/>
    <w:rsid w:val="0E2A1FC8"/>
    <w:rsid w:val="0E5E4367"/>
    <w:rsid w:val="0E6354DA"/>
    <w:rsid w:val="0E6D6359"/>
    <w:rsid w:val="0ECC7523"/>
    <w:rsid w:val="0F14603B"/>
    <w:rsid w:val="0F184516"/>
    <w:rsid w:val="0F7A2ADB"/>
    <w:rsid w:val="0F9F0794"/>
    <w:rsid w:val="0FA7589A"/>
    <w:rsid w:val="0FFA3C1C"/>
    <w:rsid w:val="10036F74"/>
    <w:rsid w:val="10120F66"/>
    <w:rsid w:val="10134CDE"/>
    <w:rsid w:val="101F18D4"/>
    <w:rsid w:val="10771710"/>
    <w:rsid w:val="108856CC"/>
    <w:rsid w:val="10C85AC8"/>
    <w:rsid w:val="112C42A9"/>
    <w:rsid w:val="114C494B"/>
    <w:rsid w:val="117A14B8"/>
    <w:rsid w:val="11A61821"/>
    <w:rsid w:val="12012BB2"/>
    <w:rsid w:val="121A67F7"/>
    <w:rsid w:val="124473D0"/>
    <w:rsid w:val="124B69B1"/>
    <w:rsid w:val="12535865"/>
    <w:rsid w:val="12FD248D"/>
    <w:rsid w:val="13141499"/>
    <w:rsid w:val="13985C26"/>
    <w:rsid w:val="13F866C4"/>
    <w:rsid w:val="14123C2A"/>
    <w:rsid w:val="143A4F2F"/>
    <w:rsid w:val="14475755"/>
    <w:rsid w:val="1461070D"/>
    <w:rsid w:val="149712A4"/>
    <w:rsid w:val="14C52A4A"/>
    <w:rsid w:val="14CF1B1B"/>
    <w:rsid w:val="14D42C8D"/>
    <w:rsid w:val="1525173B"/>
    <w:rsid w:val="154871D8"/>
    <w:rsid w:val="15853F88"/>
    <w:rsid w:val="15BE749A"/>
    <w:rsid w:val="15F80BFE"/>
    <w:rsid w:val="1662251B"/>
    <w:rsid w:val="16A62408"/>
    <w:rsid w:val="16B20DAC"/>
    <w:rsid w:val="16BA2357"/>
    <w:rsid w:val="16BF34C9"/>
    <w:rsid w:val="16D8458B"/>
    <w:rsid w:val="171F21BA"/>
    <w:rsid w:val="17562080"/>
    <w:rsid w:val="175C51BC"/>
    <w:rsid w:val="179C6477"/>
    <w:rsid w:val="17A27073"/>
    <w:rsid w:val="17B9260F"/>
    <w:rsid w:val="17CB5F4B"/>
    <w:rsid w:val="180F222F"/>
    <w:rsid w:val="1824217E"/>
    <w:rsid w:val="182C2DE0"/>
    <w:rsid w:val="18491BE4"/>
    <w:rsid w:val="185D11EC"/>
    <w:rsid w:val="18624A54"/>
    <w:rsid w:val="18826EA4"/>
    <w:rsid w:val="1898208D"/>
    <w:rsid w:val="189B3AC2"/>
    <w:rsid w:val="18ED5237"/>
    <w:rsid w:val="18F57676"/>
    <w:rsid w:val="192A5572"/>
    <w:rsid w:val="194D300E"/>
    <w:rsid w:val="19516FA3"/>
    <w:rsid w:val="19670574"/>
    <w:rsid w:val="19940C3D"/>
    <w:rsid w:val="19C84D8B"/>
    <w:rsid w:val="19FE7778"/>
    <w:rsid w:val="1A1104E0"/>
    <w:rsid w:val="1A255D39"/>
    <w:rsid w:val="1A3D7527"/>
    <w:rsid w:val="1A587EBD"/>
    <w:rsid w:val="1A622AE9"/>
    <w:rsid w:val="1AC11F06"/>
    <w:rsid w:val="1AFD0A64"/>
    <w:rsid w:val="1B2E366F"/>
    <w:rsid w:val="1B3A75C2"/>
    <w:rsid w:val="1B46065D"/>
    <w:rsid w:val="1B574618"/>
    <w:rsid w:val="1B9211AC"/>
    <w:rsid w:val="1BA57132"/>
    <w:rsid w:val="1C450915"/>
    <w:rsid w:val="1C617E78"/>
    <w:rsid w:val="1C6E7E6B"/>
    <w:rsid w:val="1C7865F4"/>
    <w:rsid w:val="1C7D00AF"/>
    <w:rsid w:val="1C84143D"/>
    <w:rsid w:val="1CC730D8"/>
    <w:rsid w:val="1CD81789"/>
    <w:rsid w:val="1CDB6B83"/>
    <w:rsid w:val="1CF06AD2"/>
    <w:rsid w:val="1D1A3B4F"/>
    <w:rsid w:val="1D5A03F0"/>
    <w:rsid w:val="1D5F1562"/>
    <w:rsid w:val="1DCB6BF8"/>
    <w:rsid w:val="1DD737EE"/>
    <w:rsid w:val="1DF12B02"/>
    <w:rsid w:val="1E2D340E"/>
    <w:rsid w:val="1F3507CD"/>
    <w:rsid w:val="1F38206B"/>
    <w:rsid w:val="1F536EA5"/>
    <w:rsid w:val="1F5E5F75"/>
    <w:rsid w:val="1F703EFB"/>
    <w:rsid w:val="1F884118"/>
    <w:rsid w:val="1F9A4AD4"/>
    <w:rsid w:val="1FA05B32"/>
    <w:rsid w:val="1FD04999"/>
    <w:rsid w:val="1FFB37C4"/>
    <w:rsid w:val="20014B53"/>
    <w:rsid w:val="200C59D1"/>
    <w:rsid w:val="20196340"/>
    <w:rsid w:val="20457135"/>
    <w:rsid w:val="208D63E6"/>
    <w:rsid w:val="20D65FDF"/>
    <w:rsid w:val="20F6042F"/>
    <w:rsid w:val="21050DDE"/>
    <w:rsid w:val="21117017"/>
    <w:rsid w:val="211508B6"/>
    <w:rsid w:val="211E35D4"/>
    <w:rsid w:val="212F75DD"/>
    <w:rsid w:val="21354AB4"/>
    <w:rsid w:val="216058A9"/>
    <w:rsid w:val="21AF0D0A"/>
    <w:rsid w:val="21C61BB0"/>
    <w:rsid w:val="21CF315A"/>
    <w:rsid w:val="22521696"/>
    <w:rsid w:val="22576C8F"/>
    <w:rsid w:val="227855A0"/>
    <w:rsid w:val="22EA4998"/>
    <w:rsid w:val="22F866E1"/>
    <w:rsid w:val="230010F2"/>
    <w:rsid w:val="23045086"/>
    <w:rsid w:val="23166B67"/>
    <w:rsid w:val="231B5F2B"/>
    <w:rsid w:val="23270D74"/>
    <w:rsid w:val="235A6A54"/>
    <w:rsid w:val="237F470C"/>
    <w:rsid w:val="2393640A"/>
    <w:rsid w:val="23C465C3"/>
    <w:rsid w:val="23C87E61"/>
    <w:rsid w:val="23DF51AB"/>
    <w:rsid w:val="24015121"/>
    <w:rsid w:val="24062738"/>
    <w:rsid w:val="24392B0D"/>
    <w:rsid w:val="247022A7"/>
    <w:rsid w:val="24967F5F"/>
    <w:rsid w:val="24B71C84"/>
    <w:rsid w:val="24CB3A76"/>
    <w:rsid w:val="24E76A0D"/>
    <w:rsid w:val="25113A8A"/>
    <w:rsid w:val="251175E6"/>
    <w:rsid w:val="255A71DF"/>
    <w:rsid w:val="258204E4"/>
    <w:rsid w:val="25891872"/>
    <w:rsid w:val="25A14E0E"/>
    <w:rsid w:val="25AA6B35"/>
    <w:rsid w:val="25C805EC"/>
    <w:rsid w:val="25DD571A"/>
    <w:rsid w:val="26031625"/>
    <w:rsid w:val="26084E8D"/>
    <w:rsid w:val="263E440B"/>
    <w:rsid w:val="26430C11"/>
    <w:rsid w:val="266B71CA"/>
    <w:rsid w:val="268C786C"/>
    <w:rsid w:val="269C55D5"/>
    <w:rsid w:val="270A253F"/>
    <w:rsid w:val="274E6A58"/>
    <w:rsid w:val="277B343D"/>
    <w:rsid w:val="27893DAB"/>
    <w:rsid w:val="2797137A"/>
    <w:rsid w:val="27971435"/>
    <w:rsid w:val="279A1B15"/>
    <w:rsid w:val="28060F58"/>
    <w:rsid w:val="28090A48"/>
    <w:rsid w:val="28094EEC"/>
    <w:rsid w:val="283006CB"/>
    <w:rsid w:val="28BA7F95"/>
    <w:rsid w:val="28D41056"/>
    <w:rsid w:val="28F11C08"/>
    <w:rsid w:val="29194CBB"/>
    <w:rsid w:val="29226266"/>
    <w:rsid w:val="294855A0"/>
    <w:rsid w:val="296A5517"/>
    <w:rsid w:val="29787C34"/>
    <w:rsid w:val="29883BEF"/>
    <w:rsid w:val="29A0718A"/>
    <w:rsid w:val="29E452C9"/>
    <w:rsid w:val="29EC0622"/>
    <w:rsid w:val="2A225DF1"/>
    <w:rsid w:val="2AF23A16"/>
    <w:rsid w:val="2B30453E"/>
    <w:rsid w:val="2B4D50F0"/>
    <w:rsid w:val="2B6761B2"/>
    <w:rsid w:val="2B6C7C6C"/>
    <w:rsid w:val="2BDA2E28"/>
    <w:rsid w:val="2BE47802"/>
    <w:rsid w:val="2BFD2672"/>
    <w:rsid w:val="2C063C1D"/>
    <w:rsid w:val="2C464019"/>
    <w:rsid w:val="2C602C01"/>
    <w:rsid w:val="2C6E3570"/>
    <w:rsid w:val="2D016192"/>
    <w:rsid w:val="2D104627"/>
    <w:rsid w:val="2D285E15"/>
    <w:rsid w:val="2DB17BB8"/>
    <w:rsid w:val="2DC25921"/>
    <w:rsid w:val="2E100D83"/>
    <w:rsid w:val="2E114AFB"/>
    <w:rsid w:val="2E6609A2"/>
    <w:rsid w:val="2E6A1E5B"/>
    <w:rsid w:val="2E7F7CB6"/>
    <w:rsid w:val="2E9D638E"/>
    <w:rsid w:val="2EDA313F"/>
    <w:rsid w:val="2EEB70FA"/>
    <w:rsid w:val="2F0E285E"/>
    <w:rsid w:val="2F0F103A"/>
    <w:rsid w:val="2F3E7229"/>
    <w:rsid w:val="2F5F53F2"/>
    <w:rsid w:val="2F6173BC"/>
    <w:rsid w:val="2FB27C17"/>
    <w:rsid w:val="2FC5794B"/>
    <w:rsid w:val="300A35B0"/>
    <w:rsid w:val="30190626"/>
    <w:rsid w:val="304A60A2"/>
    <w:rsid w:val="304F5466"/>
    <w:rsid w:val="308B13CA"/>
    <w:rsid w:val="309D08C8"/>
    <w:rsid w:val="30D61664"/>
    <w:rsid w:val="30E107B4"/>
    <w:rsid w:val="30F878AC"/>
    <w:rsid w:val="31264419"/>
    <w:rsid w:val="313F54DB"/>
    <w:rsid w:val="3175714F"/>
    <w:rsid w:val="31994BEB"/>
    <w:rsid w:val="319C46DB"/>
    <w:rsid w:val="321679A4"/>
    <w:rsid w:val="321B1AA4"/>
    <w:rsid w:val="322F72FD"/>
    <w:rsid w:val="32405C6C"/>
    <w:rsid w:val="3255697A"/>
    <w:rsid w:val="32560D2E"/>
    <w:rsid w:val="32902492"/>
    <w:rsid w:val="32A93554"/>
    <w:rsid w:val="331A61FF"/>
    <w:rsid w:val="332826CA"/>
    <w:rsid w:val="334E7C57"/>
    <w:rsid w:val="33896EE1"/>
    <w:rsid w:val="33B51A84"/>
    <w:rsid w:val="33BE302F"/>
    <w:rsid w:val="33CB74FA"/>
    <w:rsid w:val="34993154"/>
    <w:rsid w:val="34A55F9D"/>
    <w:rsid w:val="34BA1A48"/>
    <w:rsid w:val="34DD1293"/>
    <w:rsid w:val="34F14D3E"/>
    <w:rsid w:val="35011425"/>
    <w:rsid w:val="351B1DBB"/>
    <w:rsid w:val="35284C04"/>
    <w:rsid w:val="3575596F"/>
    <w:rsid w:val="35775243"/>
    <w:rsid w:val="36070CBD"/>
    <w:rsid w:val="36257395"/>
    <w:rsid w:val="365612FD"/>
    <w:rsid w:val="36E763F9"/>
    <w:rsid w:val="372907BF"/>
    <w:rsid w:val="37841E99"/>
    <w:rsid w:val="37C8447C"/>
    <w:rsid w:val="37C87FD8"/>
    <w:rsid w:val="37F52D97"/>
    <w:rsid w:val="37FF7772"/>
    <w:rsid w:val="383218F5"/>
    <w:rsid w:val="385C6972"/>
    <w:rsid w:val="38606463"/>
    <w:rsid w:val="388F4F9A"/>
    <w:rsid w:val="38AA1DD4"/>
    <w:rsid w:val="38AE58CE"/>
    <w:rsid w:val="38C904AC"/>
    <w:rsid w:val="38D3420C"/>
    <w:rsid w:val="396315A3"/>
    <w:rsid w:val="39DD3AE3"/>
    <w:rsid w:val="39FF1CAB"/>
    <w:rsid w:val="3A06303A"/>
    <w:rsid w:val="3A0E0140"/>
    <w:rsid w:val="3A4F2C33"/>
    <w:rsid w:val="3A6D4E67"/>
    <w:rsid w:val="3A946897"/>
    <w:rsid w:val="3AAF1923"/>
    <w:rsid w:val="3B0D21A6"/>
    <w:rsid w:val="3B4C0F20"/>
    <w:rsid w:val="3B556027"/>
    <w:rsid w:val="3B5953EB"/>
    <w:rsid w:val="3B5B5464"/>
    <w:rsid w:val="3B712735"/>
    <w:rsid w:val="3C033CD5"/>
    <w:rsid w:val="3C2118E5"/>
    <w:rsid w:val="3C3A6FCB"/>
    <w:rsid w:val="3C544C58"/>
    <w:rsid w:val="3CCB40C7"/>
    <w:rsid w:val="3CE27D8E"/>
    <w:rsid w:val="3D112421"/>
    <w:rsid w:val="3D113FB9"/>
    <w:rsid w:val="3D4A5933"/>
    <w:rsid w:val="3D766728"/>
    <w:rsid w:val="3DA70690"/>
    <w:rsid w:val="3DAA0180"/>
    <w:rsid w:val="3DB66B25"/>
    <w:rsid w:val="3E063608"/>
    <w:rsid w:val="3E500D27"/>
    <w:rsid w:val="3E7F160D"/>
    <w:rsid w:val="3E94750E"/>
    <w:rsid w:val="3E9B6EC4"/>
    <w:rsid w:val="3E9F580B"/>
    <w:rsid w:val="3F03223E"/>
    <w:rsid w:val="3F0F2990"/>
    <w:rsid w:val="3F1B0955"/>
    <w:rsid w:val="3F261A88"/>
    <w:rsid w:val="3F2A77CA"/>
    <w:rsid w:val="3F3705FF"/>
    <w:rsid w:val="3F5E1222"/>
    <w:rsid w:val="3F6D76B7"/>
    <w:rsid w:val="3F6F342F"/>
    <w:rsid w:val="3F852C53"/>
    <w:rsid w:val="3FD52B7D"/>
    <w:rsid w:val="3FF102E8"/>
    <w:rsid w:val="4032568A"/>
    <w:rsid w:val="40DB5220"/>
    <w:rsid w:val="410B605B"/>
    <w:rsid w:val="41434B73"/>
    <w:rsid w:val="41A970CC"/>
    <w:rsid w:val="41AF045B"/>
    <w:rsid w:val="41BB0BAE"/>
    <w:rsid w:val="423F358D"/>
    <w:rsid w:val="425D7EB7"/>
    <w:rsid w:val="427E2307"/>
    <w:rsid w:val="429E4757"/>
    <w:rsid w:val="42A17DA3"/>
    <w:rsid w:val="42B613F1"/>
    <w:rsid w:val="42B75819"/>
    <w:rsid w:val="42EA799C"/>
    <w:rsid w:val="431324CB"/>
    <w:rsid w:val="4348021F"/>
    <w:rsid w:val="43617533"/>
    <w:rsid w:val="43D9531B"/>
    <w:rsid w:val="442073EE"/>
    <w:rsid w:val="443F1622"/>
    <w:rsid w:val="445903C9"/>
    <w:rsid w:val="446B68BB"/>
    <w:rsid w:val="44CC3F88"/>
    <w:rsid w:val="45085EB8"/>
    <w:rsid w:val="450B0BB7"/>
    <w:rsid w:val="45196317"/>
    <w:rsid w:val="453E3FCF"/>
    <w:rsid w:val="4595393F"/>
    <w:rsid w:val="459C4852"/>
    <w:rsid w:val="46093820"/>
    <w:rsid w:val="4654512D"/>
    <w:rsid w:val="46625A9C"/>
    <w:rsid w:val="46696E2A"/>
    <w:rsid w:val="46A75BA4"/>
    <w:rsid w:val="46C328A4"/>
    <w:rsid w:val="46EB783F"/>
    <w:rsid w:val="471F573B"/>
    <w:rsid w:val="47286C11"/>
    <w:rsid w:val="4760647F"/>
    <w:rsid w:val="47694C08"/>
    <w:rsid w:val="47BC11DC"/>
    <w:rsid w:val="47DC2A23"/>
    <w:rsid w:val="47E04ECA"/>
    <w:rsid w:val="47E10C42"/>
    <w:rsid w:val="47EA3F9B"/>
    <w:rsid w:val="47ED3A8B"/>
    <w:rsid w:val="47ED75E7"/>
    <w:rsid w:val="47F70466"/>
    <w:rsid w:val="482A25E9"/>
    <w:rsid w:val="48C42A3E"/>
    <w:rsid w:val="48D115D9"/>
    <w:rsid w:val="48F81309"/>
    <w:rsid w:val="490E5A67"/>
    <w:rsid w:val="493D00FA"/>
    <w:rsid w:val="495E079C"/>
    <w:rsid w:val="4A266DE0"/>
    <w:rsid w:val="4A4F4589"/>
    <w:rsid w:val="4AC6490F"/>
    <w:rsid w:val="4BC60A62"/>
    <w:rsid w:val="4BC66ACD"/>
    <w:rsid w:val="4BE11211"/>
    <w:rsid w:val="4C0575F5"/>
    <w:rsid w:val="4C2F4672"/>
    <w:rsid w:val="4CCF375F"/>
    <w:rsid w:val="4CE74BC3"/>
    <w:rsid w:val="4CF116C0"/>
    <w:rsid w:val="4CFA4C80"/>
    <w:rsid w:val="4D897DB2"/>
    <w:rsid w:val="4E0F6509"/>
    <w:rsid w:val="4E481A1B"/>
    <w:rsid w:val="4E656129"/>
    <w:rsid w:val="4EFD2805"/>
    <w:rsid w:val="4F161B19"/>
    <w:rsid w:val="4F38383D"/>
    <w:rsid w:val="4F4E3061"/>
    <w:rsid w:val="4F5A7C58"/>
    <w:rsid w:val="4F675ED1"/>
    <w:rsid w:val="4FBC621D"/>
    <w:rsid w:val="4FC450D1"/>
    <w:rsid w:val="4FF9121F"/>
    <w:rsid w:val="50447FC0"/>
    <w:rsid w:val="50B155F5"/>
    <w:rsid w:val="50F33EC0"/>
    <w:rsid w:val="51330760"/>
    <w:rsid w:val="51360251"/>
    <w:rsid w:val="51835D03"/>
    <w:rsid w:val="52377DDC"/>
    <w:rsid w:val="52A31916"/>
    <w:rsid w:val="52B551A5"/>
    <w:rsid w:val="52EA4E4F"/>
    <w:rsid w:val="530F6FAB"/>
    <w:rsid w:val="531E71EE"/>
    <w:rsid w:val="53230361"/>
    <w:rsid w:val="53456529"/>
    <w:rsid w:val="53511372"/>
    <w:rsid w:val="53513120"/>
    <w:rsid w:val="537E6021"/>
    <w:rsid w:val="53817440"/>
    <w:rsid w:val="53B11E10"/>
    <w:rsid w:val="53FC12DE"/>
    <w:rsid w:val="540E2DBF"/>
    <w:rsid w:val="542919A7"/>
    <w:rsid w:val="545805FF"/>
    <w:rsid w:val="547A66A6"/>
    <w:rsid w:val="54AE00FE"/>
    <w:rsid w:val="55306D65"/>
    <w:rsid w:val="55825812"/>
    <w:rsid w:val="558C48E3"/>
    <w:rsid w:val="55A71158"/>
    <w:rsid w:val="55B41744"/>
    <w:rsid w:val="55BE109B"/>
    <w:rsid w:val="55E93AE3"/>
    <w:rsid w:val="55EC5382"/>
    <w:rsid w:val="561D19DF"/>
    <w:rsid w:val="56764C4B"/>
    <w:rsid w:val="56794E67"/>
    <w:rsid w:val="567F7FA4"/>
    <w:rsid w:val="568B06F7"/>
    <w:rsid w:val="56C318AF"/>
    <w:rsid w:val="57362D58"/>
    <w:rsid w:val="575E22AF"/>
    <w:rsid w:val="580C5867"/>
    <w:rsid w:val="58770FEB"/>
    <w:rsid w:val="588B2C30"/>
    <w:rsid w:val="58BF0B2C"/>
    <w:rsid w:val="58CB74D0"/>
    <w:rsid w:val="58D36385"/>
    <w:rsid w:val="58E81E30"/>
    <w:rsid w:val="591470C9"/>
    <w:rsid w:val="59246BE1"/>
    <w:rsid w:val="5955323E"/>
    <w:rsid w:val="596A0A97"/>
    <w:rsid w:val="59C12681"/>
    <w:rsid w:val="59E92304"/>
    <w:rsid w:val="5A096502"/>
    <w:rsid w:val="5A0C5FF2"/>
    <w:rsid w:val="5A490FF5"/>
    <w:rsid w:val="5AAB75B9"/>
    <w:rsid w:val="5AB0697E"/>
    <w:rsid w:val="5AB3021C"/>
    <w:rsid w:val="5AB67D0C"/>
    <w:rsid w:val="5ABD72ED"/>
    <w:rsid w:val="5B1038C0"/>
    <w:rsid w:val="5B1A473F"/>
    <w:rsid w:val="5B1E5FDD"/>
    <w:rsid w:val="5B266C40"/>
    <w:rsid w:val="5B3475AF"/>
    <w:rsid w:val="5B4660D6"/>
    <w:rsid w:val="5BB93F58"/>
    <w:rsid w:val="5BC815C2"/>
    <w:rsid w:val="5BFD2097"/>
    <w:rsid w:val="5C0F3B78"/>
    <w:rsid w:val="5C166CB5"/>
    <w:rsid w:val="5C4A2E02"/>
    <w:rsid w:val="5C700ABB"/>
    <w:rsid w:val="5C7A5495"/>
    <w:rsid w:val="5C9F6CAA"/>
    <w:rsid w:val="5CD32DF8"/>
    <w:rsid w:val="5D2651C9"/>
    <w:rsid w:val="5D2D075A"/>
    <w:rsid w:val="5D303DA6"/>
    <w:rsid w:val="5D883BE2"/>
    <w:rsid w:val="5D8A5BAC"/>
    <w:rsid w:val="5DA771C8"/>
    <w:rsid w:val="5DB449D7"/>
    <w:rsid w:val="5E111E29"/>
    <w:rsid w:val="5E2558D5"/>
    <w:rsid w:val="5E39312E"/>
    <w:rsid w:val="5E56783C"/>
    <w:rsid w:val="5E5B4E53"/>
    <w:rsid w:val="5EAE7678"/>
    <w:rsid w:val="5EB32EE1"/>
    <w:rsid w:val="5EFA28BD"/>
    <w:rsid w:val="5F926F9A"/>
    <w:rsid w:val="5F9B3047"/>
    <w:rsid w:val="5FB707AE"/>
    <w:rsid w:val="5FCB425A"/>
    <w:rsid w:val="5FCF78A6"/>
    <w:rsid w:val="5FE84E0C"/>
    <w:rsid w:val="602120CC"/>
    <w:rsid w:val="60624BBE"/>
    <w:rsid w:val="606A3A73"/>
    <w:rsid w:val="60874625"/>
    <w:rsid w:val="60AD570E"/>
    <w:rsid w:val="60D13AF2"/>
    <w:rsid w:val="60D158A0"/>
    <w:rsid w:val="60D84E80"/>
    <w:rsid w:val="60EC6236"/>
    <w:rsid w:val="610417D1"/>
    <w:rsid w:val="611F2AAF"/>
    <w:rsid w:val="61357BDD"/>
    <w:rsid w:val="615362B5"/>
    <w:rsid w:val="615F4C5A"/>
    <w:rsid w:val="618B5A4F"/>
    <w:rsid w:val="61A3723C"/>
    <w:rsid w:val="61AB4343"/>
    <w:rsid w:val="61C1279B"/>
    <w:rsid w:val="61E909C7"/>
    <w:rsid w:val="62546789"/>
    <w:rsid w:val="627C183B"/>
    <w:rsid w:val="62946B85"/>
    <w:rsid w:val="629D1EDE"/>
    <w:rsid w:val="62A3326C"/>
    <w:rsid w:val="62C51434"/>
    <w:rsid w:val="62CE653B"/>
    <w:rsid w:val="63247F09"/>
    <w:rsid w:val="636B3D8A"/>
    <w:rsid w:val="63B374DF"/>
    <w:rsid w:val="63E87188"/>
    <w:rsid w:val="63E94CAF"/>
    <w:rsid w:val="63F21DB5"/>
    <w:rsid w:val="63F37202"/>
    <w:rsid w:val="641F4B74"/>
    <w:rsid w:val="64395D4A"/>
    <w:rsid w:val="644840CB"/>
    <w:rsid w:val="64504D2E"/>
    <w:rsid w:val="64520AA6"/>
    <w:rsid w:val="64833355"/>
    <w:rsid w:val="649B0B26"/>
    <w:rsid w:val="64C35F29"/>
    <w:rsid w:val="64C86FBA"/>
    <w:rsid w:val="64EA5182"/>
    <w:rsid w:val="65075D34"/>
    <w:rsid w:val="651144BD"/>
    <w:rsid w:val="652561BA"/>
    <w:rsid w:val="652E506F"/>
    <w:rsid w:val="65474383"/>
    <w:rsid w:val="65CB4FB4"/>
    <w:rsid w:val="65E41BD1"/>
    <w:rsid w:val="65EA5AF8"/>
    <w:rsid w:val="65FA13F5"/>
    <w:rsid w:val="66106E6A"/>
    <w:rsid w:val="663761A5"/>
    <w:rsid w:val="66391F1D"/>
    <w:rsid w:val="666B5E4F"/>
    <w:rsid w:val="666F3B91"/>
    <w:rsid w:val="66B9305E"/>
    <w:rsid w:val="6703252B"/>
    <w:rsid w:val="67236729"/>
    <w:rsid w:val="6752050D"/>
    <w:rsid w:val="676F196F"/>
    <w:rsid w:val="678216A2"/>
    <w:rsid w:val="67EB7247"/>
    <w:rsid w:val="68126ECA"/>
    <w:rsid w:val="68220DF3"/>
    <w:rsid w:val="682B3AE8"/>
    <w:rsid w:val="68975621"/>
    <w:rsid w:val="691F6C49"/>
    <w:rsid w:val="692F7608"/>
    <w:rsid w:val="693C3AD3"/>
    <w:rsid w:val="695E1C9B"/>
    <w:rsid w:val="69626716"/>
    <w:rsid w:val="69C04704"/>
    <w:rsid w:val="69E93C5A"/>
    <w:rsid w:val="6A0C4852"/>
    <w:rsid w:val="6A104C8E"/>
    <w:rsid w:val="6A7F45BF"/>
    <w:rsid w:val="6A8B4D12"/>
    <w:rsid w:val="6ACA583A"/>
    <w:rsid w:val="6AD55F8D"/>
    <w:rsid w:val="6AFC176B"/>
    <w:rsid w:val="6B016D82"/>
    <w:rsid w:val="6B1C1E0E"/>
    <w:rsid w:val="6B4849B1"/>
    <w:rsid w:val="6B5B46E4"/>
    <w:rsid w:val="6B80414A"/>
    <w:rsid w:val="6BA20565"/>
    <w:rsid w:val="6BB32772"/>
    <w:rsid w:val="6C2471CC"/>
    <w:rsid w:val="6C467142"/>
    <w:rsid w:val="6C6B6BA9"/>
    <w:rsid w:val="6C6E0447"/>
    <w:rsid w:val="6C9C6D62"/>
    <w:rsid w:val="6C9E1CD6"/>
    <w:rsid w:val="6CB73B9C"/>
    <w:rsid w:val="6CBF6EF4"/>
    <w:rsid w:val="6CD504C6"/>
    <w:rsid w:val="6CE93F71"/>
    <w:rsid w:val="6CE95D1F"/>
    <w:rsid w:val="6D1C4347"/>
    <w:rsid w:val="6D365409"/>
    <w:rsid w:val="6D3C22F3"/>
    <w:rsid w:val="6E7F06E9"/>
    <w:rsid w:val="6EB52488"/>
    <w:rsid w:val="6F12155D"/>
    <w:rsid w:val="6F51652A"/>
    <w:rsid w:val="6FA10B33"/>
    <w:rsid w:val="6FAC7C04"/>
    <w:rsid w:val="6FB24AEE"/>
    <w:rsid w:val="6FB37AF9"/>
    <w:rsid w:val="70074E3A"/>
    <w:rsid w:val="700E441B"/>
    <w:rsid w:val="70207CAA"/>
    <w:rsid w:val="7047792D"/>
    <w:rsid w:val="707A560C"/>
    <w:rsid w:val="70A22DB5"/>
    <w:rsid w:val="71A072F4"/>
    <w:rsid w:val="71AB118E"/>
    <w:rsid w:val="71C72AD3"/>
    <w:rsid w:val="71ED029F"/>
    <w:rsid w:val="720F6228"/>
    <w:rsid w:val="72730565"/>
    <w:rsid w:val="727918F3"/>
    <w:rsid w:val="72A921D9"/>
    <w:rsid w:val="72E3520A"/>
    <w:rsid w:val="73027B3B"/>
    <w:rsid w:val="731A4E85"/>
    <w:rsid w:val="735F0AE9"/>
    <w:rsid w:val="736D1458"/>
    <w:rsid w:val="738A025C"/>
    <w:rsid w:val="73CF3EC1"/>
    <w:rsid w:val="742A7349"/>
    <w:rsid w:val="74716D26"/>
    <w:rsid w:val="747D391D"/>
    <w:rsid w:val="748E5B2A"/>
    <w:rsid w:val="74AC2681"/>
    <w:rsid w:val="74D6302D"/>
    <w:rsid w:val="74DD260E"/>
    <w:rsid w:val="754D465C"/>
    <w:rsid w:val="75660855"/>
    <w:rsid w:val="75840CDB"/>
    <w:rsid w:val="75874327"/>
    <w:rsid w:val="758B02BC"/>
    <w:rsid w:val="75C31803"/>
    <w:rsid w:val="75C537CD"/>
    <w:rsid w:val="75E023B5"/>
    <w:rsid w:val="75ED062E"/>
    <w:rsid w:val="761D53B8"/>
    <w:rsid w:val="7621652A"/>
    <w:rsid w:val="76530DD9"/>
    <w:rsid w:val="76726D86"/>
    <w:rsid w:val="768E0063"/>
    <w:rsid w:val="769D3E02"/>
    <w:rsid w:val="76AE6010"/>
    <w:rsid w:val="76DB492B"/>
    <w:rsid w:val="77416E84"/>
    <w:rsid w:val="775E5C88"/>
    <w:rsid w:val="776B3F01"/>
    <w:rsid w:val="77B07B65"/>
    <w:rsid w:val="77B25718"/>
    <w:rsid w:val="77CD310C"/>
    <w:rsid w:val="78174FAF"/>
    <w:rsid w:val="782567A5"/>
    <w:rsid w:val="78412EB3"/>
    <w:rsid w:val="78623556"/>
    <w:rsid w:val="78BC6896"/>
    <w:rsid w:val="78E219C6"/>
    <w:rsid w:val="794E3ADA"/>
    <w:rsid w:val="79556C16"/>
    <w:rsid w:val="795B557D"/>
    <w:rsid w:val="79725A1A"/>
    <w:rsid w:val="798E2128"/>
    <w:rsid w:val="79CD5559"/>
    <w:rsid w:val="79DA35C0"/>
    <w:rsid w:val="7A5E7D4D"/>
    <w:rsid w:val="7A6115EB"/>
    <w:rsid w:val="7A884DCA"/>
    <w:rsid w:val="7A97325F"/>
    <w:rsid w:val="7ADE49EA"/>
    <w:rsid w:val="7B2E5971"/>
    <w:rsid w:val="7B315461"/>
    <w:rsid w:val="7BA9149B"/>
    <w:rsid w:val="7BAB6FC2"/>
    <w:rsid w:val="7BB265A2"/>
    <w:rsid w:val="7BC2430B"/>
    <w:rsid w:val="7BC97448"/>
    <w:rsid w:val="7BCE2CB0"/>
    <w:rsid w:val="7BD77DB7"/>
    <w:rsid w:val="7C484810"/>
    <w:rsid w:val="7C6F7FEF"/>
    <w:rsid w:val="7D4A19AF"/>
    <w:rsid w:val="7DA77C5D"/>
    <w:rsid w:val="7DE1316F"/>
    <w:rsid w:val="7DE92023"/>
    <w:rsid w:val="7E0E7652"/>
    <w:rsid w:val="7E221091"/>
    <w:rsid w:val="7E235535"/>
    <w:rsid w:val="7E447259"/>
    <w:rsid w:val="7E5F5E41"/>
    <w:rsid w:val="7E663674"/>
    <w:rsid w:val="7EA85A3A"/>
    <w:rsid w:val="7EBC14E6"/>
    <w:rsid w:val="7F484B27"/>
    <w:rsid w:val="7F58120E"/>
    <w:rsid w:val="7F623E3B"/>
    <w:rsid w:val="7F65392B"/>
    <w:rsid w:val="7F6A0F42"/>
    <w:rsid w:val="7F820039"/>
    <w:rsid w:val="7F840255"/>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spacing w:after="100" w:afterLines="100"/>
      <w:jc w:val="center"/>
      <w:outlineLvl w:val="0"/>
    </w:pPr>
    <w:rPr>
      <w:rFonts w:ascii="宋体" w:eastAsia="黑体"/>
      <w:sz w:val="36"/>
      <w:szCs w:val="20"/>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1"/>
    <w:basedOn w:val="3"/>
    <w:autoRedefine/>
    <w:qFormat/>
    <w:uiPriority w:val="0"/>
  </w:style>
  <w:style w:type="paragraph" w:styleId="4">
    <w:name w:val="annotation text"/>
    <w:basedOn w:val="1"/>
    <w:autoRedefine/>
    <w:semiHidden/>
    <w:unhideWhenUsed/>
    <w:qFormat/>
    <w:uiPriority w:val="99"/>
    <w:pPr>
      <w:jc w:val="left"/>
    </w:pPr>
  </w:style>
  <w:style w:type="paragraph" w:styleId="5">
    <w:name w:val="Balloon Text"/>
    <w:basedOn w:val="1"/>
    <w:link w:val="14"/>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批注框文本 Char"/>
    <w:link w:val="5"/>
    <w:autoRedefine/>
    <w:semiHidden/>
    <w:qFormat/>
    <w:uiPriority w:val="99"/>
    <w:rPr>
      <w:sz w:val="18"/>
      <w:szCs w:val="18"/>
    </w:rPr>
  </w:style>
  <w:style w:type="character" w:customStyle="1" w:styleId="15">
    <w:name w:val="页眉 Char"/>
    <w:link w:val="7"/>
    <w:autoRedefine/>
    <w:qFormat/>
    <w:uiPriority w:val="99"/>
    <w:rPr>
      <w:sz w:val="18"/>
      <w:szCs w:val="18"/>
    </w:rPr>
  </w:style>
  <w:style w:type="character" w:customStyle="1" w:styleId="16">
    <w:name w:val="页脚 Char"/>
    <w:link w:val="6"/>
    <w:autoRedefine/>
    <w:qFormat/>
    <w:uiPriority w:val="99"/>
    <w:rPr>
      <w:sz w:val="18"/>
      <w:szCs w:val="18"/>
    </w:rPr>
  </w:style>
  <w:style w:type="paragraph" w:customStyle="1" w:styleId="17">
    <w:name w:val="列出段落1"/>
    <w:basedOn w:val="1"/>
    <w:autoRedefine/>
    <w:qFormat/>
    <w:uiPriority w:val="0"/>
    <w:pPr>
      <w:ind w:firstLine="420" w:firstLineChars="200"/>
    </w:pPr>
  </w:style>
  <w:style w:type="paragraph" w:styleId="18">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style>
  <w:style w:type="paragraph" w:customStyle="1" w:styleId="20">
    <w:name w:val="Default"/>
    <w:autoRedefine/>
    <w:qFormat/>
    <w:uiPriority w:val="0"/>
    <w:pPr>
      <w:widowControl w:val="0"/>
      <w:autoSpaceDE w:val="0"/>
      <w:autoSpaceDN w:val="0"/>
      <w:adjustRightInd w:val="0"/>
    </w:pPr>
    <w:rPr>
      <w:rFonts w:ascii="Arial Unicode MS" w:hAnsi="Arial Unicode MS" w:eastAsia="宋体"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B0576-8DBF-4283-B603-64FA9DE8AAC8}">
  <ds:schemaRefs/>
</ds:datastoreItem>
</file>

<file path=docProps/app.xml><?xml version="1.0" encoding="utf-8"?>
<Properties xmlns="http://schemas.openxmlformats.org/officeDocument/2006/extended-properties" xmlns:vt="http://schemas.openxmlformats.org/officeDocument/2006/docPropsVTypes">
  <Template>Normal.dotm</Template>
  <Company>民航?局</Company>
  <Pages>21</Pages>
  <Words>8143</Words>
  <Characters>8199</Characters>
  <Lines>47</Lines>
  <Paragraphs>13</Paragraphs>
  <TotalTime>2</TotalTime>
  <ScaleCrop>false</ScaleCrop>
  <LinksUpToDate>false</LinksUpToDate>
  <CharactersWithSpaces>8277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2022-05-12T03:02:00Z</dcterms:created>
  <dc:creator>高天</dc:creator>
  <cp:lastModifiedBy>张巍</cp:lastModifiedBy>
  <cp:lastPrinted>2022-07-20T09:42:00Z</cp:lastPrinted>
  <dcterms:modified xsi:type="dcterms:W3CDTF">2024-01-12T08:38:51Z</dcterms:modified>
  <dc:title>关于承担民用机场专用设备</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244CF149EEED4A15A9D5A30B7D450B18_13</vt:lpwstr>
  </property>
</Properties>
</file>