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FC48" w14:textId="48BC9284" w:rsidR="00C86BC3" w:rsidRPr="00F104DE" w:rsidRDefault="00C86BC3" w:rsidP="008C388F">
      <w:pPr>
        <w:jc w:val="center"/>
        <w:outlineLvl w:val="0"/>
        <w:rPr>
          <w:rFonts w:ascii="仿宋" w:eastAsia="仿宋" w:hAnsi="仿宋" w:cs="Times New Roman"/>
          <w:b/>
          <w:bCs/>
          <w:sz w:val="32"/>
          <w:szCs w:val="32"/>
        </w:rPr>
      </w:pPr>
      <w:r w:rsidRPr="00F104DE">
        <w:rPr>
          <w:rFonts w:ascii="仿宋" w:eastAsia="仿宋" w:hAnsi="仿宋" w:cs="Times New Roman" w:hint="eastAsia"/>
          <w:b/>
          <w:bCs/>
          <w:sz w:val="32"/>
          <w:szCs w:val="32"/>
        </w:rPr>
        <w:t>颁发专用条件征求意见稿</w:t>
      </w:r>
    </w:p>
    <w:p w14:paraId="6BA30CB4" w14:textId="77777777" w:rsidR="00387AE2" w:rsidRPr="00F104DE" w:rsidRDefault="00387AE2" w:rsidP="008C388F">
      <w:pPr>
        <w:jc w:val="center"/>
        <w:outlineLvl w:val="0"/>
        <w:rPr>
          <w:rFonts w:ascii="仿宋" w:eastAsia="仿宋" w:hAnsi="仿宋" w:cs="Times New Roman"/>
          <w:b/>
          <w:bCs/>
          <w:sz w:val="32"/>
          <w:szCs w:val="32"/>
        </w:rPr>
      </w:pPr>
    </w:p>
    <w:p w14:paraId="692B3838" w14:textId="5E961AD5" w:rsidR="00C86BC3" w:rsidRPr="00F104DE" w:rsidRDefault="005523E2">
      <w:pPr>
        <w:jc w:val="left"/>
        <w:outlineLvl w:val="0"/>
        <w:rPr>
          <w:rFonts w:ascii="仿宋" w:eastAsia="仿宋" w:hAnsi="仿宋" w:cs="Times New Roman"/>
          <w:sz w:val="28"/>
          <w:szCs w:val="28"/>
        </w:rPr>
      </w:pPr>
      <w:r w:rsidRPr="00F104DE">
        <w:rPr>
          <w:rFonts w:ascii="仿宋" w:eastAsia="仿宋" w:hAnsi="仿宋" w:cs="Times New Roman" w:hint="eastAsia"/>
          <w:sz w:val="28"/>
          <w:szCs w:val="28"/>
        </w:rPr>
        <w:t>颁发专用条件</w:t>
      </w:r>
      <w:r w:rsidR="00B1604A">
        <w:rPr>
          <w:rFonts w:ascii="仿宋" w:eastAsia="仿宋" w:hAnsi="仿宋" w:cs="Times New Roman" w:hint="eastAsia"/>
          <w:sz w:val="28"/>
          <w:szCs w:val="28"/>
          <w:u w:val="single"/>
        </w:rPr>
        <w:t xml:space="preserve">   AG100型飞机</w:t>
      </w:r>
      <w:r w:rsidRPr="00F104DE">
        <w:rPr>
          <w:rFonts w:ascii="仿宋" w:eastAsia="仿宋" w:hAnsi="仿宋" w:cs="Times New Roman" w:hint="eastAsia"/>
          <w:sz w:val="28"/>
          <w:szCs w:val="28"/>
          <w:u w:val="single"/>
        </w:rPr>
        <w:t>发动机电</w:t>
      </w:r>
      <w:proofErr w:type="gramStart"/>
      <w:r w:rsidRPr="00F104DE">
        <w:rPr>
          <w:rFonts w:ascii="仿宋" w:eastAsia="仿宋" w:hAnsi="仿宋" w:cs="Times New Roman" w:hint="eastAsia"/>
          <w:sz w:val="28"/>
          <w:szCs w:val="28"/>
          <w:u w:val="single"/>
        </w:rPr>
        <w:t>子控制</w:t>
      </w:r>
      <w:proofErr w:type="gramEnd"/>
      <w:r w:rsidR="00B1604A">
        <w:rPr>
          <w:rFonts w:ascii="仿宋" w:eastAsia="仿宋" w:hAnsi="仿宋" w:cs="Times New Roman" w:hint="eastAsia"/>
          <w:sz w:val="28"/>
          <w:szCs w:val="28"/>
          <w:u w:val="single"/>
        </w:rPr>
        <w:t xml:space="preserve"> </w:t>
      </w:r>
      <w:r w:rsidRPr="00F104DE">
        <w:rPr>
          <w:rFonts w:ascii="仿宋" w:eastAsia="仿宋" w:hAnsi="仿宋" w:cs="Times New Roman" w:hint="eastAsia"/>
          <w:sz w:val="28"/>
          <w:szCs w:val="28"/>
          <w:u w:val="single"/>
        </w:rPr>
        <w:t xml:space="preserve">   </w:t>
      </w:r>
      <w:r w:rsidRPr="00F104DE">
        <w:rPr>
          <w:rFonts w:ascii="仿宋" w:eastAsia="仿宋" w:hAnsi="仿宋" w:cs="Times New Roman" w:hint="eastAsia"/>
          <w:sz w:val="28"/>
          <w:szCs w:val="28"/>
        </w:rPr>
        <w:t>征求意见稿</w:t>
      </w:r>
    </w:p>
    <w:p w14:paraId="3A18ACA9" w14:textId="304495DE" w:rsidR="00C86BC3" w:rsidRPr="00F104DE" w:rsidRDefault="00C86BC3">
      <w:pPr>
        <w:pStyle w:val="Default"/>
        <w:jc w:val="both"/>
        <w:rPr>
          <w:rFonts w:ascii="仿宋" w:eastAsia="仿宋" w:hAnsi="仿宋" w:cs="Times New Roman"/>
          <w:sz w:val="28"/>
          <w:szCs w:val="28"/>
        </w:rPr>
      </w:pPr>
      <w:r w:rsidRPr="00F104DE">
        <w:rPr>
          <w:rFonts w:ascii="仿宋" w:eastAsia="仿宋" w:hAnsi="仿宋" w:hint="eastAsia"/>
          <w:sz w:val="28"/>
          <w:szCs w:val="28"/>
        </w:rPr>
        <w:t>编号：</w:t>
      </w:r>
      <w:r w:rsidR="00B1604A">
        <w:rPr>
          <w:rFonts w:ascii="仿宋" w:eastAsia="仿宋" w:hAnsi="仿宋" w:hint="eastAsia"/>
          <w:sz w:val="28"/>
          <w:szCs w:val="28"/>
        </w:rPr>
        <w:t>PSC-23-19</w:t>
      </w:r>
    </w:p>
    <w:p w14:paraId="5FA4B3F2" w14:textId="17A3F08C" w:rsidR="00C86BC3" w:rsidRPr="00F104DE" w:rsidRDefault="00C86BC3">
      <w:pPr>
        <w:pStyle w:val="Default"/>
        <w:jc w:val="both"/>
        <w:rPr>
          <w:rFonts w:ascii="仿宋" w:eastAsia="仿宋" w:hAnsi="仿宋" w:cs="Times New Roman"/>
          <w:sz w:val="28"/>
          <w:szCs w:val="28"/>
        </w:rPr>
      </w:pPr>
      <w:r w:rsidRPr="00F104DE">
        <w:rPr>
          <w:rFonts w:ascii="仿宋" w:eastAsia="仿宋" w:hAnsi="仿宋" w:hint="eastAsia"/>
          <w:sz w:val="28"/>
          <w:szCs w:val="28"/>
        </w:rPr>
        <w:t>反馈意见截止期：</w:t>
      </w:r>
      <w:r w:rsidR="00EC19CE">
        <w:rPr>
          <w:rFonts w:ascii="Times New Roman" w:hAnsi="Times New Roman" w:cs="Times New Roman" w:hint="eastAsia"/>
          <w:sz w:val="28"/>
          <w:szCs w:val="28"/>
        </w:rPr>
        <w:t>自通知颁发的</w:t>
      </w:r>
      <w:r w:rsidR="00EC19CE">
        <w:rPr>
          <w:rFonts w:ascii="Times New Roman" w:hAnsi="Times New Roman" w:cs="Times New Roman"/>
          <w:sz w:val="28"/>
          <w:szCs w:val="28"/>
        </w:rPr>
        <w:t>15</w:t>
      </w:r>
      <w:r w:rsidR="00EC19CE">
        <w:rPr>
          <w:rFonts w:ascii="Times New Roman" w:hAnsi="Times New Roman" w:cs="Times New Roman" w:hint="eastAsia"/>
          <w:sz w:val="28"/>
          <w:szCs w:val="28"/>
        </w:rPr>
        <w:t>个工作日</w:t>
      </w:r>
      <w:bookmarkStart w:id="0" w:name="_GoBack"/>
      <w:bookmarkEnd w:id="0"/>
    </w:p>
    <w:p w14:paraId="4C9841FA" w14:textId="77777777" w:rsidR="00C86BC3" w:rsidRPr="00F104DE" w:rsidRDefault="00C86BC3">
      <w:pPr>
        <w:pStyle w:val="Default"/>
        <w:jc w:val="both"/>
        <w:rPr>
          <w:rFonts w:ascii="仿宋" w:eastAsia="仿宋" w:hAnsi="仿宋" w:cs="Times New Roman"/>
          <w:sz w:val="28"/>
          <w:szCs w:val="28"/>
        </w:rPr>
      </w:pPr>
    </w:p>
    <w:p w14:paraId="0827DF5A" w14:textId="77777777" w:rsidR="00C86BC3" w:rsidRPr="00F104DE" w:rsidRDefault="00C86BC3">
      <w:pPr>
        <w:pStyle w:val="Default"/>
        <w:numPr>
          <w:ilvl w:val="0"/>
          <w:numId w:val="1"/>
        </w:numPr>
        <w:jc w:val="both"/>
        <w:outlineLvl w:val="0"/>
        <w:rPr>
          <w:rFonts w:ascii="仿宋" w:eastAsia="仿宋" w:hAnsi="仿宋" w:cs="Times New Roman"/>
          <w:sz w:val="28"/>
          <w:szCs w:val="28"/>
        </w:rPr>
      </w:pPr>
      <w:r w:rsidRPr="00F104DE">
        <w:rPr>
          <w:rFonts w:ascii="仿宋" w:eastAsia="仿宋" w:hAnsi="仿宋" w:hint="eastAsia"/>
          <w:sz w:val="28"/>
          <w:szCs w:val="28"/>
        </w:rPr>
        <w:t>概述</w:t>
      </w:r>
    </w:p>
    <w:p w14:paraId="7CB036C4" w14:textId="26D5B48C" w:rsidR="00C86BC3" w:rsidRPr="00F104DE" w:rsidRDefault="00C86BC3">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本专用条件征求意见稿介绍了</w:t>
      </w:r>
      <w:r w:rsidR="00635150" w:rsidRPr="00F104DE">
        <w:rPr>
          <w:rFonts w:ascii="仿宋" w:eastAsia="仿宋" w:hAnsi="仿宋" w:cs="Times New Roman" w:hint="eastAsia"/>
          <w:sz w:val="28"/>
          <w:szCs w:val="28"/>
        </w:rPr>
        <w:t>AG100</w:t>
      </w:r>
      <w:r w:rsidR="00CE6D31" w:rsidRPr="00F104DE">
        <w:rPr>
          <w:rFonts w:ascii="仿宋" w:eastAsia="仿宋" w:hAnsi="仿宋" w:cs="Times New Roman" w:hint="eastAsia"/>
          <w:sz w:val="28"/>
          <w:szCs w:val="28"/>
        </w:rPr>
        <w:t>型</w:t>
      </w:r>
      <w:r w:rsidR="0000299C" w:rsidRPr="00F104DE">
        <w:rPr>
          <w:rFonts w:ascii="仿宋" w:eastAsia="仿宋" w:hAnsi="仿宋" w:cs="Times New Roman" w:hint="eastAsia"/>
          <w:sz w:val="28"/>
          <w:szCs w:val="28"/>
        </w:rPr>
        <w:t>飞机</w:t>
      </w:r>
      <w:r w:rsidR="00D51A7D" w:rsidRPr="00F104DE">
        <w:rPr>
          <w:rFonts w:ascii="仿宋" w:eastAsia="仿宋" w:hAnsi="仿宋" w:cs="Times New Roman" w:hint="eastAsia"/>
          <w:sz w:val="28"/>
          <w:szCs w:val="28"/>
        </w:rPr>
        <w:t>发动机电</w:t>
      </w:r>
      <w:proofErr w:type="gramStart"/>
      <w:r w:rsidR="00D51A7D" w:rsidRPr="00F104DE">
        <w:rPr>
          <w:rFonts w:ascii="仿宋" w:eastAsia="仿宋" w:hAnsi="仿宋" w:cs="Times New Roman" w:hint="eastAsia"/>
          <w:sz w:val="28"/>
          <w:szCs w:val="28"/>
        </w:rPr>
        <w:t>子控制</w:t>
      </w:r>
      <w:proofErr w:type="gramEnd"/>
      <w:r w:rsidRPr="00F104DE">
        <w:rPr>
          <w:rFonts w:ascii="仿宋" w:eastAsia="仿宋" w:hAnsi="仿宋" w:cs="Times New Roman" w:hint="eastAsia"/>
          <w:sz w:val="28"/>
          <w:szCs w:val="28"/>
        </w:rPr>
        <w:t>专用条件的制定背景及适用范围，并提出详细的专用条件草案。</w:t>
      </w:r>
    </w:p>
    <w:p w14:paraId="0F31EA74" w14:textId="77777777" w:rsidR="00C86BC3" w:rsidRPr="00F104DE" w:rsidRDefault="00C86BC3">
      <w:pPr>
        <w:pStyle w:val="Default"/>
        <w:numPr>
          <w:ilvl w:val="0"/>
          <w:numId w:val="1"/>
        </w:numPr>
        <w:jc w:val="both"/>
        <w:outlineLvl w:val="0"/>
        <w:rPr>
          <w:rFonts w:ascii="仿宋" w:eastAsia="仿宋" w:hAnsi="仿宋"/>
          <w:sz w:val="28"/>
          <w:szCs w:val="28"/>
        </w:rPr>
      </w:pPr>
      <w:r w:rsidRPr="00F104DE">
        <w:rPr>
          <w:rFonts w:ascii="仿宋" w:eastAsia="仿宋" w:hAnsi="仿宋" w:hint="eastAsia"/>
          <w:sz w:val="28"/>
          <w:szCs w:val="28"/>
        </w:rPr>
        <w:t>背景</w:t>
      </w:r>
    </w:p>
    <w:p w14:paraId="58556AFF" w14:textId="4DB9306F"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AG100飞机发动机</w:t>
      </w:r>
      <w:proofErr w:type="spellStart"/>
      <w:r w:rsidRPr="00F104DE">
        <w:rPr>
          <w:rFonts w:ascii="仿宋" w:eastAsia="仿宋" w:hAnsi="仿宋" w:cs="Times New Roman" w:hint="eastAsia"/>
          <w:sz w:val="28"/>
          <w:szCs w:val="28"/>
        </w:rPr>
        <w:t>Rotax</w:t>
      </w:r>
      <w:proofErr w:type="spellEnd"/>
      <w:r w:rsidRPr="00F104DE">
        <w:rPr>
          <w:rFonts w:ascii="仿宋" w:eastAsia="仿宋" w:hAnsi="仿宋" w:cs="Times New Roman" w:hint="eastAsia"/>
          <w:sz w:val="28"/>
          <w:szCs w:val="28"/>
        </w:rPr>
        <w:t xml:space="preserve"> 915 iSc3 C24已取得EASA型号合格证，证号E.121，该发动机的EEC在发动机取证过程进行了验证。根据§23.1309(f)(1)要求，作为合格审定过的发动机一部分的动力装置系统，不包含在§23.1309的要求范围内。§23.1141和§23.1143的要求也不能完全涵盖对活塞发动机EEC系统的安全性要求。</w:t>
      </w:r>
      <w:bookmarkStart w:id="1" w:name="_Hlk125984227"/>
      <w:r w:rsidR="00665FAE" w:rsidRPr="00C82CEC">
        <w:rPr>
          <w:rFonts w:ascii="仿宋" w:eastAsia="仿宋" w:hAnsi="仿宋" w:cs="Times New Roman" w:hint="eastAsia"/>
          <w:sz w:val="28"/>
          <w:szCs w:val="28"/>
        </w:rPr>
        <w:t>为保证AG100飞机安全运行，根据中国民用航空规章第21部《民用航空产品和零部件合格审定规定》(CCAR-21-R4)第21.16条</w:t>
      </w:r>
      <w:r w:rsidR="00ED1663" w:rsidRPr="00C82CEC">
        <w:rPr>
          <w:rFonts w:ascii="仿宋" w:eastAsia="仿宋" w:hAnsi="仿宋" w:cs="Times New Roman" w:hint="eastAsia"/>
          <w:sz w:val="28"/>
          <w:szCs w:val="28"/>
        </w:rPr>
        <w:t>（一）款</w:t>
      </w:r>
      <w:r w:rsidR="00665FAE" w:rsidRPr="00C82CEC">
        <w:rPr>
          <w:rFonts w:ascii="仿宋" w:eastAsia="仿宋" w:hAnsi="仿宋" w:cs="Times New Roman" w:hint="eastAsia"/>
          <w:sz w:val="28"/>
          <w:szCs w:val="28"/>
        </w:rPr>
        <w:t>第</w:t>
      </w:r>
      <w:r w:rsidR="00665FAE" w:rsidRPr="00C82CEC">
        <w:rPr>
          <w:rFonts w:ascii="仿宋" w:eastAsia="仿宋" w:hAnsi="仿宋" w:cs="Times New Roman"/>
          <w:sz w:val="28"/>
          <w:szCs w:val="28"/>
        </w:rPr>
        <w:t>1</w:t>
      </w:r>
      <w:r w:rsidR="00ED1663" w:rsidRPr="00C82CEC">
        <w:rPr>
          <w:rFonts w:ascii="仿宋" w:eastAsia="仿宋" w:hAnsi="仿宋" w:cs="Times New Roman" w:hint="eastAsia"/>
          <w:sz w:val="28"/>
          <w:szCs w:val="28"/>
        </w:rPr>
        <w:t>项</w:t>
      </w:r>
      <w:r w:rsidR="00665FAE" w:rsidRPr="00C82CEC">
        <w:rPr>
          <w:rFonts w:ascii="仿宋" w:eastAsia="仿宋" w:hAnsi="仿宋" w:cs="Times New Roman" w:hint="eastAsia"/>
          <w:sz w:val="28"/>
          <w:szCs w:val="28"/>
        </w:rPr>
        <w:t>的要求，</w:t>
      </w:r>
      <w:bookmarkEnd w:id="1"/>
      <w:r w:rsidRPr="00C82CEC">
        <w:rPr>
          <w:rFonts w:ascii="仿宋" w:eastAsia="仿宋" w:hAnsi="仿宋" w:cs="Times New Roman" w:hint="eastAsia"/>
          <w:sz w:val="28"/>
          <w:szCs w:val="28"/>
        </w:rPr>
        <w:t>对AG100飞机制定EEC装机后的安全性要求。</w:t>
      </w:r>
    </w:p>
    <w:p w14:paraId="5FF69625" w14:textId="29F85768"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在33部航空发动机适航规定的咨询通告(AC 33.28-1、AC 33.28-2、AMC 20-3B)中，对EEC的验证有明确指导，也强调了在发动机取证验证过程中应考虑其在飞机上的安装，但按这些咨询通告提供的方法进行验证，带EEC的活塞发动机失去功率控制(LOPC)的概率</w:t>
      </w:r>
      <w:r w:rsidR="00F104DE" w:rsidRPr="00F104DE">
        <w:rPr>
          <w:rFonts w:ascii="仿宋" w:eastAsia="仿宋" w:hAnsi="仿宋" w:cs="Times New Roman" w:hint="eastAsia"/>
          <w:sz w:val="28"/>
          <w:szCs w:val="28"/>
        </w:rPr>
        <w:t>也</w:t>
      </w:r>
      <w:r w:rsidRPr="00F104DE">
        <w:rPr>
          <w:rFonts w:ascii="仿宋" w:eastAsia="仿宋" w:hAnsi="仿宋" w:cs="Times New Roman" w:hint="eastAsia"/>
          <w:sz w:val="28"/>
          <w:szCs w:val="28"/>
        </w:rPr>
        <w:t>只能</w:t>
      </w:r>
      <w:r w:rsidRPr="00F104DE">
        <w:rPr>
          <w:rFonts w:ascii="仿宋" w:eastAsia="仿宋" w:hAnsi="仿宋" w:cs="Times New Roman" w:hint="eastAsia"/>
          <w:sz w:val="28"/>
          <w:szCs w:val="28"/>
        </w:rPr>
        <w:lastRenderedPageBreak/>
        <w:t>达到4.5×10</w:t>
      </w:r>
      <w:r w:rsidRPr="00F104DE">
        <w:rPr>
          <w:rFonts w:ascii="仿宋" w:eastAsia="仿宋" w:hAnsi="仿宋" w:cs="Times New Roman" w:hint="eastAsia"/>
          <w:sz w:val="28"/>
          <w:szCs w:val="28"/>
          <w:vertAlign w:val="superscript"/>
        </w:rPr>
        <w:t>-5</w:t>
      </w:r>
      <w:r w:rsidRPr="00F104DE">
        <w:rPr>
          <w:rFonts w:ascii="仿宋" w:eastAsia="仿宋" w:hAnsi="仿宋" w:cs="Times New Roman" w:hint="eastAsia"/>
          <w:sz w:val="28"/>
          <w:szCs w:val="28"/>
        </w:rPr>
        <w:t>，该结果不能满足23部飞机失效概率为1×10</w:t>
      </w:r>
      <w:r w:rsidRPr="00F104DE">
        <w:rPr>
          <w:rFonts w:ascii="仿宋" w:eastAsia="仿宋" w:hAnsi="仿宋" w:cs="Times New Roman" w:hint="eastAsia"/>
          <w:sz w:val="28"/>
          <w:szCs w:val="28"/>
          <w:vertAlign w:val="superscript"/>
        </w:rPr>
        <w:t>-5</w:t>
      </w:r>
      <w:r w:rsidRPr="00F104DE">
        <w:rPr>
          <w:rFonts w:ascii="仿宋" w:eastAsia="仿宋" w:hAnsi="仿宋" w:cs="Times New Roman" w:hint="eastAsia"/>
          <w:sz w:val="28"/>
          <w:szCs w:val="28"/>
        </w:rPr>
        <w:t>的安全性要求。</w:t>
      </w:r>
    </w:p>
    <w:p w14:paraId="54B39785" w14:textId="77777777" w:rsidR="00C82CEC" w:rsidRDefault="00D51A7D" w:rsidP="00C82CEC">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在AC 33.28-2中，FAA基于对23部活塞发动机飞机的服役数据和事故数据进行调查研究及评估后，认为，带EEC的活塞发动机失去功率控制(LOPC)最大概率为4.5×10</w:t>
      </w:r>
      <w:r w:rsidRPr="00F104DE">
        <w:rPr>
          <w:rFonts w:ascii="仿宋" w:eastAsia="仿宋" w:hAnsi="仿宋" w:cs="Times New Roman" w:hint="eastAsia"/>
          <w:sz w:val="28"/>
          <w:szCs w:val="28"/>
          <w:vertAlign w:val="superscript"/>
        </w:rPr>
        <w:t>-5</w:t>
      </w:r>
      <w:r w:rsidRPr="00F104DE">
        <w:rPr>
          <w:rFonts w:ascii="仿宋" w:eastAsia="仿宋" w:hAnsi="仿宋" w:cs="Times New Roman" w:hint="eastAsia"/>
          <w:sz w:val="28"/>
          <w:szCs w:val="28"/>
        </w:rPr>
        <w:t>，该结果与FAA对活塞发动机的安全性目标要求一致；在AMC 20-3(B)中，EASA也认为，带有EEC的23部活塞发动机飞机发生LOPC的次数小于每百万飞行小时45次(4.5×10</w:t>
      </w:r>
      <w:r w:rsidRPr="00F104DE">
        <w:rPr>
          <w:rFonts w:ascii="仿宋" w:eastAsia="仿宋" w:hAnsi="仿宋" w:cs="Times New Roman" w:hint="eastAsia"/>
          <w:sz w:val="28"/>
          <w:szCs w:val="28"/>
          <w:vertAlign w:val="superscript"/>
        </w:rPr>
        <w:t>-5</w:t>
      </w:r>
      <w:r w:rsidRPr="00F104DE">
        <w:rPr>
          <w:rFonts w:ascii="仿宋" w:eastAsia="仿宋" w:hAnsi="仿宋" w:cs="Times New Roman" w:hint="eastAsia"/>
          <w:sz w:val="28"/>
          <w:szCs w:val="28"/>
        </w:rPr>
        <w:t>)是可以接受的。</w:t>
      </w:r>
    </w:p>
    <w:p w14:paraId="11EAFDA9" w14:textId="3B2D521B" w:rsidR="00D51A7D" w:rsidRPr="00C82CEC" w:rsidRDefault="00C82CEC" w:rsidP="00C82CEC">
      <w:pPr>
        <w:adjustRightInd w:val="0"/>
        <w:ind w:firstLineChars="200" w:firstLine="600"/>
        <w:rPr>
          <w:rFonts w:ascii="仿宋" w:eastAsia="仿宋" w:hAnsi="仿宋" w:cs="Times New Roman"/>
          <w:sz w:val="28"/>
          <w:szCs w:val="28"/>
        </w:rPr>
      </w:pPr>
      <w:r w:rsidRPr="00C82CEC">
        <w:rPr>
          <w:rFonts w:ascii="仿宋" w:eastAsia="仿宋" w:hAnsi="仿宋" w:hint="eastAsia"/>
          <w:sz w:val="30"/>
          <w:szCs w:val="30"/>
        </w:rPr>
        <w:t>FAA以发动机服役数据和飞机事故数据统计调查为基础，EASA以发动机飞行小时为基础，确定了单发活塞发动机飞机EEC发生故障的概率保持在4.5×10</w:t>
      </w:r>
      <w:r w:rsidRPr="00C82CEC">
        <w:rPr>
          <w:rFonts w:ascii="仿宋" w:eastAsia="仿宋" w:hAnsi="仿宋" w:hint="eastAsia"/>
          <w:sz w:val="30"/>
          <w:szCs w:val="30"/>
          <w:vertAlign w:val="superscript"/>
        </w:rPr>
        <w:t>-5</w:t>
      </w:r>
      <w:r w:rsidRPr="00C82CEC">
        <w:rPr>
          <w:rFonts w:ascii="仿宋" w:eastAsia="仿宋" w:hAnsi="仿宋" w:hint="eastAsia"/>
          <w:sz w:val="30"/>
          <w:szCs w:val="30"/>
        </w:rPr>
        <w:t>水平上，这个结果与活塞发动机的服役和飞行要求一致，所以，对于23部单发活塞发动机飞机，其LOPC概率保持在发动机取证时的水平（4.5×10</w:t>
      </w:r>
      <w:r w:rsidRPr="00C82CEC">
        <w:rPr>
          <w:rFonts w:ascii="仿宋" w:eastAsia="仿宋" w:hAnsi="仿宋" w:hint="eastAsia"/>
          <w:sz w:val="30"/>
          <w:szCs w:val="30"/>
          <w:vertAlign w:val="superscript"/>
        </w:rPr>
        <w:t>-5</w:t>
      </w:r>
      <w:r w:rsidRPr="00C82CEC">
        <w:rPr>
          <w:rFonts w:ascii="仿宋" w:eastAsia="仿宋" w:hAnsi="仿宋" w:hint="eastAsia"/>
          <w:sz w:val="30"/>
          <w:szCs w:val="30"/>
        </w:rPr>
        <w:t>）是可以接受的。</w:t>
      </w:r>
    </w:p>
    <w:p w14:paraId="7F11E54D" w14:textId="2381000C"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基于以上说明建立以下要求：</w:t>
      </w:r>
      <w:r w:rsidRPr="00F104DE">
        <w:rPr>
          <w:rFonts w:ascii="仿宋" w:eastAsia="仿宋" w:hAnsi="仿宋" w:cs="Times New Roman" w:hint="eastAsia"/>
          <w:b/>
          <w:bCs/>
          <w:sz w:val="28"/>
          <w:szCs w:val="28"/>
        </w:rPr>
        <w:t>对于装机的发动机电</w:t>
      </w:r>
      <w:proofErr w:type="gramStart"/>
      <w:r w:rsidRPr="00F104DE">
        <w:rPr>
          <w:rFonts w:ascii="仿宋" w:eastAsia="仿宋" w:hAnsi="仿宋" w:cs="Times New Roman" w:hint="eastAsia"/>
          <w:b/>
          <w:bCs/>
          <w:sz w:val="28"/>
          <w:szCs w:val="28"/>
        </w:rPr>
        <w:t>子控制</w:t>
      </w:r>
      <w:proofErr w:type="gramEnd"/>
      <w:r w:rsidRPr="00F104DE">
        <w:rPr>
          <w:rFonts w:ascii="仿宋" w:eastAsia="仿宋" w:hAnsi="仿宋" w:cs="Times New Roman" w:hint="eastAsia"/>
          <w:b/>
          <w:bCs/>
          <w:sz w:val="28"/>
          <w:szCs w:val="28"/>
        </w:rPr>
        <w:t>(EEC)系统，必须保证其失效模式(单个失效或故障或可能的失效组合)造成飞机失去功率控制(LOPC)的概率</w:t>
      </w:r>
      <w:r w:rsidR="00294001" w:rsidRPr="00F104DE">
        <w:rPr>
          <w:rFonts w:ascii="仿宋" w:eastAsia="仿宋" w:hAnsi="仿宋" w:cs="Times New Roman" w:hint="eastAsia"/>
          <w:b/>
          <w:bCs/>
          <w:sz w:val="28"/>
          <w:szCs w:val="28"/>
        </w:rPr>
        <w:t>，</w:t>
      </w:r>
      <w:r w:rsidRPr="00F104DE">
        <w:rPr>
          <w:rFonts w:ascii="仿宋" w:eastAsia="仿宋" w:hAnsi="仿宋" w:cs="Times New Roman" w:hint="eastAsia"/>
          <w:b/>
          <w:bCs/>
          <w:sz w:val="28"/>
          <w:szCs w:val="28"/>
        </w:rPr>
        <w:t>不能超过CCAR-33部允许的相应概率要求。</w:t>
      </w:r>
    </w:p>
    <w:p w14:paraId="6C96C1EB" w14:textId="785C1678"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AG100飞机采用CCAR-23-R4 23.2515作为电子和电气系统闪电防护审定基础，采用CCAR-23-R4 23.2520作为高强度辐射场(HIRF)防护审定基础，以此要求对EEC受闪电间接效应和HIRF影响的危害等级进行评估。依据AG100飞机闪电防护和HIRF防护要求评估的结</w:t>
      </w:r>
      <w:r w:rsidRPr="00F104DE">
        <w:rPr>
          <w:rFonts w:ascii="仿宋" w:eastAsia="仿宋" w:hAnsi="仿宋" w:cs="Times New Roman" w:hint="eastAsia"/>
          <w:sz w:val="28"/>
          <w:szCs w:val="28"/>
        </w:rPr>
        <w:lastRenderedPageBreak/>
        <w:t>果</w:t>
      </w:r>
      <w:r w:rsidR="00920C82" w:rsidRPr="00F104DE">
        <w:rPr>
          <w:rFonts w:ascii="仿宋" w:eastAsia="仿宋" w:hAnsi="仿宋" w:cs="Times New Roman" w:hint="eastAsia"/>
          <w:sz w:val="28"/>
          <w:szCs w:val="28"/>
        </w:rPr>
        <w:t>，</w:t>
      </w:r>
      <w:r w:rsidRPr="00F104DE">
        <w:rPr>
          <w:rFonts w:ascii="仿宋" w:eastAsia="仿宋" w:hAnsi="仿宋" w:cs="Times New Roman" w:hint="eastAsia"/>
          <w:sz w:val="28"/>
          <w:szCs w:val="28"/>
        </w:rPr>
        <w:t>EEC受闪电间接效应和HIRF影响的危害等级是危险的，但是参考其他同类飞机EEC安装专用条件的要求，对AG100飞机EEC系统，闪电间接效应和HIRF影响导致飞机出现LOPC的危害等级按灾难的进行要求。</w:t>
      </w:r>
    </w:p>
    <w:p w14:paraId="6E9A3374"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基于以上说明建立以下要求：</w:t>
      </w:r>
      <w:r w:rsidRPr="00F104DE">
        <w:rPr>
          <w:rFonts w:ascii="仿宋" w:eastAsia="仿宋" w:hAnsi="仿宋" w:cs="Times New Roman" w:hint="eastAsia"/>
          <w:b/>
          <w:bCs/>
          <w:sz w:val="28"/>
          <w:szCs w:val="28"/>
        </w:rPr>
        <w:t>必须对装机的发动机电子控制系统进行闪电间接效应和HIRF影响评估。发动机电子控制系统受闪电间接效应和HIRF影响导致发动机失去功率控制(LOPC)的危害等级是灾难的。</w:t>
      </w:r>
    </w:p>
    <w:p w14:paraId="2CB4D650"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传统机械式发动机控制系统，通过机械、液压或气动部件实现系统传动和控制功能，但控制系统本身不具备余度和限制运行能力。带EEC的发动机控制系统，可以对系统状态实时监控并进行精准控制，EEC的余度设计使飞机在允许的发动机功能和/或余度丧失情况下仍进行签派放行，即AG100飞机具备限时运行(TLO)能力。TLO的目的是在飞机的安全没有受到显著影响时，能够按原计划进行维护，所以要求带EEC活塞发动机飞机实施TLO，必须保证飞机在发动机及其附件正常检查或翻修的间隔期内能持续保持安全运行。</w:t>
      </w:r>
    </w:p>
    <w:p w14:paraId="308E8791"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为符合上述对TLO运行装机批准的要求，必须满足以下准则：</w:t>
      </w:r>
    </w:p>
    <w:p w14:paraId="66F38A9C"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1、用于TLO运行的发动机必须获得批准，并且所有与TLO相关的发动机限制和安装手册要求必须得到满足。</w:t>
      </w:r>
    </w:p>
    <w:p w14:paraId="281960B5" w14:textId="516BD6E0"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2、带有EEC系统的发动机装机后，</w:t>
      </w:r>
      <w:proofErr w:type="gramStart"/>
      <w:r w:rsidRPr="00F104DE">
        <w:rPr>
          <w:rFonts w:ascii="仿宋" w:eastAsia="仿宋" w:hAnsi="仿宋" w:cs="Times New Roman" w:hint="eastAsia"/>
          <w:sz w:val="28"/>
          <w:szCs w:val="28"/>
        </w:rPr>
        <w:t>飞机级</w:t>
      </w:r>
      <w:proofErr w:type="gramEnd"/>
      <w:r w:rsidRPr="00F104DE">
        <w:rPr>
          <w:rFonts w:ascii="仿宋" w:eastAsia="仿宋" w:hAnsi="仿宋" w:cs="Times New Roman" w:hint="eastAsia"/>
          <w:sz w:val="28"/>
          <w:szCs w:val="28"/>
        </w:rPr>
        <w:t>的LOPC总概率不得大于§33.28中发动机批准时所要求的概率。对于单发活塞飞机，全勤构型LOPC发生率不大于每百万飞行小时45次(4.5x10</w:t>
      </w:r>
      <w:r w:rsidRPr="00F104DE">
        <w:rPr>
          <w:rFonts w:ascii="仿宋" w:eastAsia="仿宋" w:hAnsi="仿宋" w:cs="Times New Roman" w:hint="eastAsia"/>
          <w:sz w:val="28"/>
          <w:szCs w:val="28"/>
          <w:vertAlign w:val="superscript"/>
        </w:rPr>
        <w:t>-5</w:t>
      </w:r>
      <w:r w:rsidRPr="00F104DE">
        <w:rPr>
          <w:rFonts w:ascii="仿宋" w:eastAsia="仿宋" w:hAnsi="仿宋" w:cs="Times New Roman" w:hint="eastAsia"/>
          <w:sz w:val="28"/>
          <w:szCs w:val="28"/>
        </w:rPr>
        <w:t>每小时)。</w:t>
      </w:r>
    </w:p>
    <w:p w14:paraId="709FD804" w14:textId="4C86C99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lastRenderedPageBreak/>
        <w:t>3、在以下时间点对TLO故障进行检查，以先到者为准</w:t>
      </w:r>
      <w:r w:rsidR="00920C82" w:rsidRPr="00F104DE">
        <w:rPr>
          <w:rFonts w:ascii="仿宋" w:eastAsia="仿宋" w:hAnsi="仿宋" w:cs="Times New Roman" w:hint="eastAsia"/>
          <w:sz w:val="28"/>
          <w:szCs w:val="28"/>
        </w:rPr>
        <w:t>：</w:t>
      </w:r>
    </w:p>
    <w:p w14:paraId="3F2F109B"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a) 计划的重要维修间隔(阶段检查、不超年检，等)；</w:t>
      </w:r>
    </w:p>
    <w:p w14:paraId="0B9CED98"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b) 飞机停机进行大修或检查(重大损伤、硬着陆检查等)的重大维修。不包括日常维护(过滤器更换、液体检查等)；</w:t>
      </w:r>
    </w:p>
    <w:p w14:paraId="1E53872F"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c) 发动机的CCAR-33 TLO分析允许间隔。</w:t>
      </w:r>
    </w:p>
    <w:p w14:paraId="0575DAF0"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4、TLO实施应满足AC33.28-2相关要求。</w:t>
      </w:r>
    </w:p>
    <w:p w14:paraId="155CD9E5" w14:textId="77777777"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基于以上说明，建立以下要求：</w:t>
      </w:r>
      <w:r w:rsidRPr="00F104DE">
        <w:rPr>
          <w:rFonts w:ascii="仿宋" w:eastAsia="仿宋" w:hAnsi="仿宋" w:cs="Times New Roman" w:hint="eastAsia"/>
          <w:b/>
          <w:bCs/>
          <w:sz w:val="28"/>
          <w:szCs w:val="28"/>
        </w:rPr>
        <w:t>发动机电子控制系统安装的各部件，其构造、布置和安装必须保证在正常检查或翻修的间隔期内能持续保持安全运转。</w:t>
      </w:r>
    </w:p>
    <w:p w14:paraId="261FDC37" w14:textId="11065505" w:rsidR="00D51A7D"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由于飞机或系统级的功能集成要求，EEC的设备、系统或装置包含</w:t>
      </w:r>
      <w:r w:rsidR="00C82CEC">
        <w:rPr>
          <w:rFonts w:ascii="仿宋" w:eastAsia="仿宋" w:hAnsi="仿宋" w:cs="Times New Roman" w:hint="eastAsia"/>
          <w:sz w:val="28"/>
          <w:szCs w:val="28"/>
        </w:rPr>
        <w:t>了</w:t>
      </w:r>
      <w:r w:rsidRPr="00F104DE">
        <w:rPr>
          <w:rFonts w:ascii="仿宋" w:eastAsia="仿宋" w:hAnsi="仿宋" w:cs="Times New Roman" w:hint="eastAsia"/>
          <w:sz w:val="28"/>
          <w:szCs w:val="28"/>
        </w:rPr>
        <w:t>基本发动机控制之外的其他功能，即EEC出现功能整合。比如推力管理，发动机指示(已作为发动机安装验证的部分除外)，发动机转速同步，点火控制，螺旋桨控制，自动顺桨等。现行有效法规并没有对这些整合功能的明确要求，但这些整合功能及其集成可能会引入系统失效和故障。所以应针对EEC附加功能及其集成建立要求，明确这些附加功能及其集成必须表明其符合§23.1309的安全水平，不能因为附加功能所在的设备、系统、装置属于EEC而豁免§23.1309。</w:t>
      </w:r>
    </w:p>
    <w:p w14:paraId="3FBCD0A7" w14:textId="4D236E99" w:rsidR="0000299C" w:rsidRPr="00F104DE" w:rsidRDefault="00D51A7D" w:rsidP="00D51A7D">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基于以上说明，建立以下要求：</w:t>
      </w:r>
      <w:r w:rsidRPr="00F104DE">
        <w:rPr>
          <w:rFonts w:ascii="仿宋" w:eastAsia="仿宋" w:hAnsi="仿宋" w:cs="Times New Roman" w:hint="eastAsia"/>
          <w:b/>
          <w:bCs/>
          <w:sz w:val="28"/>
          <w:szCs w:val="28"/>
        </w:rPr>
        <w:t>发动机电子控制系统集成</w:t>
      </w:r>
      <w:r w:rsidR="00C82CEC">
        <w:rPr>
          <w:rFonts w:ascii="仿宋" w:eastAsia="仿宋" w:hAnsi="仿宋" w:cs="Times New Roman" w:hint="eastAsia"/>
          <w:b/>
          <w:bCs/>
          <w:sz w:val="28"/>
          <w:szCs w:val="28"/>
        </w:rPr>
        <w:t>了</w:t>
      </w:r>
      <w:r w:rsidRPr="00F104DE">
        <w:rPr>
          <w:rFonts w:ascii="仿宋" w:eastAsia="仿宋" w:hAnsi="仿宋" w:cs="Times New Roman" w:hint="eastAsia"/>
          <w:b/>
          <w:bCs/>
          <w:sz w:val="28"/>
          <w:szCs w:val="28"/>
        </w:rPr>
        <w:t>发动机基本控制功能以外的其他功能，这些功能所属系统失效或故障可能会对飞机安全性带来影响，因此，完成这些功能的其他系统不能豁免§23.1309的安全性要求，必须满足CCAR-23部的安全性要求。如果适用，可以用发动机CCAR-33部的取证数据来表明EEC装机后23部</w:t>
      </w:r>
      <w:r w:rsidRPr="00F104DE">
        <w:rPr>
          <w:rFonts w:ascii="仿宋" w:eastAsia="仿宋" w:hAnsi="仿宋" w:cs="Times New Roman" w:hint="eastAsia"/>
          <w:b/>
          <w:bCs/>
          <w:sz w:val="28"/>
          <w:szCs w:val="28"/>
        </w:rPr>
        <w:lastRenderedPageBreak/>
        <w:t>飞机的符合性，申请人必须能够提供这些数据。</w:t>
      </w:r>
    </w:p>
    <w:p w14:paraId="499D7DB2" w14:textId="77777777" w:rsidR="00C86BC3" w:rsidRPr="00F104DE" w:rsidRDefault="00C86BC3">
      <w:pPr>
        <w:pStyle w:val="Default"/>
        <w:numPr>
          <w:ilvl w:val="0"/>
          <w:numId w:val="1"/>
        </w:numPr>
        <w:jc w:val="both"/>
        <w:outlineLvl w:val="0"/>
        <w:rPr>
          <w:rFonts w:ascii="仿宋" w:eastAsia="仿宋" w:hAnsi="仿宋"/>
          <w:sz w:val="28"/>
          <w:szCs w:val="28"/>
        </w:rPr>
      </w:pPr>
      <w:r w:rsidRPr="00F104DE">
        <w:rPr>
          <w:rFonts w:ascii="仿宋" w:eastAsia="仿宋" w:hAnsi="仿宋" w:hint="eastAsia"/>
          <w:sz w:val="28"/>
          <w:szCs w:val="28"/>
        </w:rPr>
        <w:t>适用范围</w:t>
      </w:r>
    </w:p>
    <w:p w14:paraId="39EBE623" w14:textId="3C5AB4AC" w:rsidR="00C86BC3" w:rsidRPr="00F104DE" w:rsidRDefault="00C86BC3">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本专用条件适用于</w:t>
      </w:r>
      <w:r w:rsidR="00635150" w:rsidRPr="00F104DE">
        <w:rPr>
          <w:rFonts w:ascii="仿宋" w:eastAsia="仿宋" w:hAnsi="仿宋" w:cs="Times New Roman" w:hint="eastAsia"/>
          <w:sz w:val="28"/>
          <w:szCs w:val="28"/>
        </w:rPr>
        <w:t>AG100</w:t>
      </w:r>
      <w:r w:rsidR="00886D5C" w:rsidRPr="00F104DE">
        <w:rPr>
          <w:rFonts w:ascii="仿宋" w:eastAsia="仿宋" w:hAnsi="仿宋" w:cs="Times New Roman" w:hint="eastAsia"/>
          <w:sz w:val="28"/>
          <w:szCs w:val="28"/>
        </w:rPr>
        <w:t>型飞机</w:t>
      </w:r>
      <w:r w:rsidRPr="00F104DE">
        <w:rPr>
          <w:rFonts w:ascii="仿宋" w:eastAsia="仿宋" w:hAnsi="仿宋" w:cs="Times New Roman" w:hint="eastAsia"/>
          <w:sz w:val="28"/>
          <w:szCs w:val="28"/>
        </w:rPr>
        <w:t>。</w:t>
      </w:r>
    </w:p>
    <w:p w14:paraId="29E8A9B4" w14:textId="77777777" w:rsidR="00C86BC3" w:rsidRPr="00F104DE" w:rsidRDefault="00C86BC3">
      <w:pPr>
        <w:pStyle w:val="Default"/>
        <w:numPr>
          <w:ilvl w:val="0"/>
          <w:numId w:val="1"/>
        </w:numPr>
        <w:jc w:val="both"/>
        <w:outlineLvl w:val="0"/>
        <w:rPr>
          <w:rFonts w:ascii="仿宋" w:eastAsia="仿宋" w:hAnsi="仿宋"/>
          <w:sz w:val="28"/>
          <w:szCs w:val="28"/>
        </w:rPr>
      </w:pPr>
      <w:r w:rsidRPr="00F104DE">
        <w:rPr>
          <w:rFonts w:ascii="仿宋" w:eastAsia="仿宋" w:hAnsi="仿宋" w:hint="eastAsia"/>
          <w:sz w:val="28"/>
          <w:szCs w:val="28"/>
        </w:rPr>
        <w:t>专用条件草案</w:t>
      </w:r>
    </w:p>
    <w:p w14:paraId="375B33F7" w14:textId="77777777" w:rsidR="00E077F4" w:rsidRPr="00F104DE" w:rsidRDefault="00E077F4" w:rsidP="00E077F4">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EEC装机按如下要求进行审查：</w:t>
      </w:r>
    </w:p>
    <w:p w14:paraId="40E55582" w14:textId="3050E51B" w:rsidR="00E077F4" w:rsidRPr="00F104DE" w:rsidRDefault="00E077F4" w:rsidP="00E077F4">
      <w:pPr>
        <w:adjustRightInd w:val="0"/>
        <w:ind w:firstLineChars="200" w:firstLine="562"/>
        <w:rPr>
          <w:rFonts w:ascii="仿宋" w:eastAsia="仿宋" w:hAnsi="仿宋" w:cs="Times New Roman"/>
          <w:b/>
          <w:sz w:val="28"/>
          <w:szCs w:val="28"/>
        </w:rPr>
      </w:pPr>
      <w:r w:rsidRPr="00F104DE">
        <w:rPr>
          <w:rFonts w:ascii="仿宋" w:eastAsia="仿宋" w:hAnsi="仿宋" w:cs="Times New Roman" w:hint="eastAsia"/>
          <w:b/>
          <w:sz w:val="28"/>
          <w:szCs w:val="28"/>
        </w:rPr>
        <w:t>1） 对于装机的发动机电</w:t>
      </w:r>
      <w:proofErr w:type="gramStart"/>
      <w:r w:rsidRPr="00F104DE">
        <w:rPr>
          <w:rFonts w:ascii="仿宋" w:eastAsia="仿宋" w:hAnsi="仿宋" w:cs="Times New Roman" w:hint="eastAsia"/>
          <w:b/>
          <w:sz w:val="28"/>
          <w:szCs w:val="28"/>
        </w:rPr>
        <w:t>子控制</w:t>
      </w:r>
      <w:proofErr w:type="gramEnd"/>
      <w:r w:rsidRPr="00F104DE">
        <w:rPr>
          <w:rFonts w:ascii="仿宋" w:eastAsia="仿宋" w:hAnsi="仿宋" w:cs="Times New Roman" w:hint="eastAsia"/>
          <w:b/>
          <w:sz w:val="28"/>
          <w:szCs w:val="28"/>
        </w:rPr>
        <w:t>(EEC)系统，必须保证其失效模式(单个失效或故障或可能的失效组合)造成飞机失去功率控制(LOPC)的概率</w:t>
      </w:r>
      <w:r w:rsidR="00BC4BBB" w:rsidRPr="00F104DE">
        <w:rPr>
          <w:rFonts w:ascii="仿宋" w:eastAsia="仿宋" w:hAnsi="仿宋" w:cs="Times New Roman" w:hint="eastAsia"/>
          <w:b/>
          <w:sz w:val="28"/>
          <w:szCs w:val="28"/>
        </w:rPr>
        <w:t>，</w:t>
      </w:r>
      <w:r w:rsidRPr="00F104DE">
        <w:rPr>
          <w:rFonts w:ascii="仿宋" w:eastAsia="仿宋" w:hAnsi="仿宋" w:cs="Times New Roman" w:hint="eastAsia"/>
          <w:b/>
          <w:sz w:val="28"/>
          <w:szCs w:val="28"/>
        </w:rPr>
        <w:t>不能超过CCAR-33部允许的相应概率要求。</w:t>
      </w:r>
    </w:p>
    <w:p w14:paraId="390E40B5" w14:textId="77777777" w:rsidR="00E077F4" w:rsidRPr="00F104DE" w:rsidRDefault="00E077F4" w:rsidP="00E077F4">
      <w:pPr>
        <w:adjustRightInd w:val="0"/>
        <w:ind w:firstLineChars="200" w:firstLine="562"/>
        <w:rPr>
          <w:rFonts w:ascii="仿宋" w:eastAsia="仿宋" w:hAnsi="仿宋" w:cs="Times New Roman"/>
          <w:b/>
          <w:sz w:val="28"/>
          <w:szCs w:val="28"/>
        </w:rPr>
      </w:pPr>
      <w:r w:rsidRPr="00F104DE">
        <w:rPr>
          <w:rFonts w:ascii="仿宋" w:eastAsia="仿宋" w:hAnsi="仿宋" w:cs="Times New Roman" w:hint="eastAsia"/>
          <w:b/>
          <w:sz w:val="28"/>
          <w:szCs w:val="28"/>
        </w:rPr>
        <w:t>2） 必须对装机的发动机电子控制系统进行闪电间接效应和HIRF影响评估。发动机电子控制系统受闪电间接效应和HIRF影响导致发动机失去功率控制(LOPC)的危害等级是灾难的。</w:t>
      </w:r>
    </w:p>
    <w:p w14:paraId="72D5297B" w14:textId="77777777" w:rsidR="00E077F4" w:rsidRPr="00F104DE" w:rsidRDefault="00E077F4" w:rsidP="00E077F4">
      <w:pPr>
        <w:adjustRightInd w:val="0"/>
        <w:ind w:firstLineChars="200" w:firstLine="562"/>
        <w:rPr>
          <w:rFonts w:ascii="仿宋" w:eastAsia="仿宋" w:hAnsi="仿宋" w:cs="Times New Roman"/>
          <w:b/>
          <w:sz w:val="28"/>
          <w:szCs w:val="28"/>
        </w:rPr>
      </w:pPr>
      <w:r w:rsidRPr="00F104DE">
        <w:rPr>
          <w:rFonts w:ascii="仿宋" w:eastAsia="仿宋" w:hAnsi="仿宋" w:cs="Times New Roman" w:hint="eastAsia"/>
          <w:b/>
          <w:sz w:val="28"/>
          <w:szCs w:val="28"/>
        </w:rPr>
        <w:t>3） 发动机电子控制系统安装的各部件，其构造、布置和安装必须保证在正常检查或翻修的间隔期内能持续保持安全运转。</w:t>
      </w:r>
    </w:p>
    <w:p w14:paraId="5790D509" w14:textId="0F586075" w:rsidR="00E077F4" w:rsidRPr="00F104DE" w:rsidRDefault="00E077F4" w:rsidP="00E077F4">
      <w:pPr>
        <w:adjustRightInd w:val="0"/>
        <w:ind w:firstLineChars="200" w:firstLine="562"/>
        <w:rPr>
          <w:rFonts w:ascii="仿宋" w:eastAsia="仿宋" w:hAnsi="仿宋" w:cs="Times New Roman"/>
          <w:b/>
          <w:sz w:val="28"/>
          <w:szCs w:val="28"/>
        </w:rPr>
      </w:pPr>
      <w:r w:rsidRPr="00F104DE">
        <w:rPr>
          <w:rFonts w:ascii="仿宋" w:eastAsia="仿宋" w:hAnsi="仿宋" w:cs="Times New Roman" w:hint="eastAsia"/>
          <w:b/>
          <w:sz w:val="28"/>
          <w:szCs w:val="28"/>
        </w:rPr>
        <w:t>4） 发动机电子控制系统集成</w:t>
      </w:r>
      <w:r w:rsidR="00C82CEC">
        <w:rPr>
          <w:rFonts w:ascii="仿宋" w:eastAsia="仿宋" w:hAnsi="仿宋" w:cs="Times New Roman" w:hint="eastAsia"/>
          <w:b/>
          <w:sz w:val="28"/>
          <w:szCs w:val="28"/>
        </w:rPr>
        <w:t>了</w:t>
      </w:r>
      <w:r w:rsidRPr="00F104DE">
        <w:rPr>
          <w:rFonts w:ascii="仿宋" w:eastAsia="仿宋" w:hAnsi="仿宋" w:cs="Times New Roman" w:hint="eastAsia"/>
          <w:b/>
          <w:sz w:val="28"/>
          <w:szCs w:val="28"/>
        </w:rPr>
        <w:t>发动机基本控制功能以外的其他功能，这些功能所属系统失效或故障可能会对飞机安全性带来影响，因此，完成这些功能的其他系统不能豁免§23.1309的安全性要求，必须满足CCAR-23部的安全性要求。如果适用，可以用发动机CCAR-33部的取证数据来表明EEC装机后23部飞机的符合性，申请人必须能够提供这些数据。</w:t>
      </w:r>
    </w:p>
    <w:p w14:paraId="2E7F073D" w14:textId="77777777" w:rsidR="00C86BC3" w:rsidRPr="00F104DE" w:rsidRDefault="00C86BC3">
      <w:pPr>
        <w:pStyle w:val="Default"/>
        <w:numPr>
          <w:ilvl w:val="0"/>
          <w:numId w:val="1"/>
        </w:numPr>
        <w:jc w:val="both"/>
        <w:rPr>
          <w:rFonts w:ascii="仿宋" w:eastAsia="仿宋" w:hAnsi="仿宋"/>
          <w:color w:val="auto"/>
          <w:sz w:val="28"/>
          <w:szCs w:val="28"/>
        </w:rPr>
      </w:pPr>
      <w:r w:rsidRPr="00F104DE">
        <w:rPr>
          <w:rFonts w:ascii="仿宋" w:eastAsia="仿宋" w:hAnsi="仿宋" w:hint="eastAsia"/>
          <w:color w:val="auto"/>
          <w:sz w:val="28"/>
          <w:szCs w:val="28"/>
        </w:rPr>
        <w:t>结论</w:t>
      </w:r>
    </w:p>
    <w:p w14:paraId="5A45840D" w14:textId="43EF41F3" w:rsidR="00C86BC3" w:rsidRPr="00F104DE" w:rsidRDefault="00C86BC3" w:rsidP="002D0E51">
      <w:pPr>
        <w:adjustRightInd w:val="0"/>
        <w:ind w:firstLineChars="200" w:firstLine="560"/>
        <w:rPr>
          <w:rFonts w:ascii="仿宋" w:eastAsia="仿宋" w:hAnsi="仿宋" w:cs="Times New Roman"/>
          <w:sz w:val="28"/>
          <w:szCs w:val="28"/>
        </w:rPr>
      </w:pPr>
      <w:r w:rsidRPr="00F104DE">
        <w:rPr>
          <w:rFonts w:ascii="仿宋" w:eastAsia="仿宋" w:hAnsi="仿宋" w:cs="Times New Roman" w:hint="eastAsia"/>
          <w:sz w:val="28"/>
          <w:szCs w:val="28"/>
        </w:rPr>
        <w:t>建议颁发</w:t>
      </w:r>
      <w:r w:rsidR="00206486" w:rsidRPr="00F104DE">
        <w:rPr>
          <w:rFonts w:ascii="仿宋" w:eastAsia="仿宋" w:hAnsi="仿宋" w:cs="Times New Roman" w:hint="eastAsia"/>
          <w:sz w:val="28"/>
          <w:szCs w:val="28"/>
        </w:rPr>
        <w:t>AG1</w:t>
      </w:r>
      <w:r w:rsidR="001354D7" w:rsidRPr="00F104DE">
        <w:rPr>
          <w:rFonts w:ascii="仿宋" w:eastAsia="仿宋" w:hAnsi="仿宋" w:cs="Times New Roman" w:hint="eastAsia"/>
          <w:sz w:val="28"/>
          <w:szCs w:val="28"/>
        </w:rPr>
        <w:t>00型飞机</w:t>
      </w:r>
      <w:r w:rsidR="00E077F4" w:rsidRPr="00F104DE">
        <w:rPr>
          <w:rFonts w:ascii="仿宋" w:eastAsia="仿宋" w:hAnsi="仿宋" w:cs="Times New Roman" w:hint="eastAsia"/>
          <w:sz w:val="28"/>
          <w:szCs w:val="28"/>
        </w:rPr>
        <w:t>发动机电</w:t>
      </w:r>
      <w:proofErr w:type="gramStart"/>
      <w:r w:rsidR="00E077F4" w:rsidRPr="00F104DE">
        <w:rPr>
          <w:rFonts w:ascii="仿宋" w:eastAsia="仿宋" w:hAnsi="仿宋" w:cs="Times New Roman" w:hint="eastAsia"/>
          <w:sz w:val="28"/>
          <w:szCs w:val="28"/>
        </w:rPr>
        <w:t>子控制</w:t>
      </w:r>
      <w:proofErr w:type="gramEnd"/>
      <w:r w:rsidRPr="00F104DE">
        <w:rPr>
          <w:rFonts w:ascii="仿宋" w:eastAsia="仿宋" w:hAnsi="仿宋" w:cs="Times New Roman" w:hint="eastAsia"/>
          <w:sz w:val="28"/>
          <w:szCs w:val="28"/>
        </w:rPr>
        <w:t>专用条件。</w:t>
      </w:r>
    </w:p>
    <w:p w14:paraId="37E7DF35" w14:textId="1F348865" w:rsidR="00C86BC3" w:rsidRPr="00D81A11" w:rsidRDefault="00C86BC3" w:rsidP="00D81A11">
      <w:pPr>
        <w:adjustRightInd w:val="0"/>
        <w:rPr>
          <w:rFonts w:ascii="仿宋" w:eastAsia="仿宋" w:hAnsi="仿宋" w:cs="Times New Roman"/>
          <w:sz w:val="28"/>
          <w:szCs w:val="28"/>
        </w:rPr>
      </w:pPr>
    </w:p>
    <w:p w14:paraId="37C0A158" w14:textId="45056E34" w:rsidR="00C86BC3" w:rsidRPr="00F104DE" w:rsidRDefault="00C86BC3" w:rsidP="00C82CEC">
      <w:pPr>
        <w:pStyle w:val="Default"/>
        <w:jc w:val="both"/>
        <w:rPr>
          <w:rFonts w:ascii="仿宋" w:eastAsia="仿宋" w:hAnsi="仿宋" w:cs="Times New Roman"/>
        </w:rPr>
      </w:pPr>
      <w:r w:rsidRPr="00F104DE">
        <w:rPr>
          <w:rFonts w:ascii="仿宋" w:eastAsia="仿宋" w:hAnsi="仿宋" w:hint="eastAsia"/>
          <w:color w:val="auto"/>
          <w:sz w:val="28"/>
          <w:szCs w:val="28"/>
        </w:rPr>
        <w:lastRenderedPageBreak/>
        <w:t>附：《颁发专用条件</w:t>
      </w:r>
      <w:r w:rsidRPr="00F104DE">
        <w:rPr>
          <w:rFonts w:ascii="仿宋" w:eastAsia="仿宋" w:hAnsi="仿宋"/>
          <w:color w:val="auto"/>
          <w:sz w:val="28"/>
          <w:szCs w:val="28"/>
        </w:rPr>
        <w:t>/</w:t>
      </w:r>
      <w:r w:rsidRPr="00F104DE">
        <w:rPr>
          <w:rFonts w:ascii="仿宋" w:eastAsia="仿宋" w:hAnsi="仿宋" w:hint="eastAsia"/>
          <w:color w:val="auto"/>
          <w:sz w:val="28"/>
          <w:szCs w:val="28"/>
        </w:rPr>
        <w:t>批准豁免反馈意见表》（</w:t>
      </w:r>
      <w:r w:rsidRPr="00F104DE">
        <w:rPr>
          <w:rFonts w:ascii="仿宋" w:eastAsia="仿宋" w:hAnsi="仿宋"/>
          <w:color w:val="auto"/>
          <w:sz w:val="28"/>
          <w:szCs w:val="28"/>
        </w:rPr>
        <w:t>CAAC</w:t>
      </w:r>
      <w:r w:rsidRPr="00F104DE">
        <w:rPr>
          <w:rFonts w:ascii="仿宋" w:eastAsia="仿宋" w:hAnsi="仿宋" w:hint="eastAsia"/>
          <w:color w:val="auto"/>
          <w:sz w:val="28"/>
          <w:szCs w:val="28"/>
        </w:rPr>
        <w:t>表</w:t>
      </w:r>
      <w:r w:rsidRPr="00F104DE">
        <w:rPr>
          <w:rFonts w:ascii="仿宋" w:eastAsia="仿宋" w:hAnsi="仿宋"/>
          <w:color w:val="auto"/>
          <w:sz w:val="28"/>
          <w:szCs w:val="28"/>
        </w:rPr>
        <w:t>AAC-267</w:t>
      </w:r>
      <w:r w:rsidRPr="00F104DE">
        <w:rPr>
          <w:rFonts w:ascii="仿宋" w:eastAsia="仿宋" w:hAnsi="仿宋" w:hint="eastAsia"/>
          <w:color w:val="auto"/>
          <w:sz w:val="28"/>
          <w:szCs w:val="28"/>
        </w:rPr>
        <w:t>）</w:t>
      </w:r>
      <w:r w:rsidRPr="00F104DE">
        <w:rPr>
          <w:rFonts w:ascii="仿宋" w:eastAsia="仿宋" w:hAnsi="仿宋" w:cs="Times New Roman"/>
        </w:rPr>
        <w:br w:type="page"/>
      </w:r>
    </w:p>
    <w:p w14:paraId="366862BA" w14:textId="77777777" w:rsidR="002B0651" w:rsidRPr="00F104DE" w:rsidRDefault="002B0651" w:rsidP="002B0651">
      <w:pPr>
        <w:spacing w:line="360" w:lineRule="auto"/>
        <w:ind w:firstLine="420"/>
        <w:jc w:val="center"/>
        <w:rPr>
          <w:rFonts w:ascii="仿宋" w:eastAsia="仿宋" w:hAnsi="仿宋"/>
          <w:sz w:val="36"/>
          <w:szCs w:val="28"/>
        </w:rPr>
      </w:pPr>
      <w:r w:rsidRPr="00F104DE">
        <w:rPr>
          <w:rFonts w:ascii="仿宋" w:eastAsia="仿宋" w:hAnsi="仿宋" w:hint="eastAsia"/>
          <w:sz w:val="36"/>
          <w:szCs w:val="28"/>
        </w:rPr>
        <w:lastRenderedPageBreak/>
        <w:t>颁发专用条件/批准豁免反馈意见表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9"/>
        <w:gridCol w:w="959"/>
        <w:gridCol w:w="139"/>
        <w:gridCol w:w="315"/>
        <w:gridCol w:w="2171"/>
        <w:gridCol w:w="3353"/>
      </w:tblGrid>
      <w:tr w:rsidR="002B0651" w:rsidRPr="00F104DE" w14:paraId="5DCFF5CD" w14:textId="77777777" w:rsidTr="00C4347B">
        <w:tc>
          <w:tcPr>
            <w:tcW w:w="1384" w:type="dxa"/>
            <w:tcBorders>
              <w:top w:val="single" w:sz="4" w:space="0" w:color="000000"/>
              <w:left w:val="single" w:sz="4" w:space="0" w:color="000000"/>
              <w:bottom w:val="single" w:sz="4" w:space="0" w:color="000000"/>
              <w:right w:val="single" w:sz="4" w:space="0" w:color="000000"/>
            </w:tcBorders>
            <w:hideMark/>
          </w:tcPr>
          <w:p w14:paraId="5DA03908" w14:textId="77777777" w:rsidR="002B0651" w:rsidRPr="00F104DE" w:rsidRDefault="002B0651" w:rsidP="00C4347B">
            <w:pPr>
              <w:rPr>
                <w:rFonts w:ascii="仿宋" w:eastAsia="仿宋" w:hAnsi="仿宋"/>
                <w:sz w:val="28"/>
                <w:szCs w:val="28"/>
              </w:rPr>
            </w:pPr>
            <w:r w:rsidRPr="00F104DE">
              <w:rPr>
                <w:rFonts w:ascii="仿宋" w:eastAsia="仿宋" w:hAnsi="仿宋" w:hint="eastAsia"/>
                <w:sz w:val="28"/>
                <w:szCs w:val="28"/>
              </w:rPr>
              <w:t>类别</w:t>
            </w:r>
          </w:p>
        </w:tc>
        <w:tc>
          <w:tcPr>
            <w:tcW w:w="7138" w:type="dxa"/>
            <w:gridSpan w:val="5"/>
            <w:tcBorders>
              <w:top w:val="single" w:sz="4" w:space="0" w:color="000000"/>
              <w:left w:val="single" w:sz="4" w:space="0" w:color="000000"/>
              <w:bottom w:val="single" w:sz="4" w:space="0" w:color="000000"/>
              <w:right w:val="single" w:sz="4" w:space="0" w:color="000000"/>
            </w:tcBorders>
            <w:hideMark/>
          </w:tcPr>
          <w:p w14:paraId="66B8E256" w14:textId="77777777" w:rsidR="002B0651" w:rsidRPr="00F104DE" w:rsidRDefault="002B0651" w:rsidP="00C4347B">
            <w:pPr>
              <w:jc w:val="center"/>
              <w:rPr>
                <w:rFonts w:ascii="仿宋" w:eastAsia="仿宋" w:hAnsi="仿宋"/>
                <w:sz w:val="28"/>
                <w:szCs w:val="28"/>
              </w:rPr>
            </w:pPr>
            <w:r w:rsidRPr="00F104DE">
              <w:rPr>
                <w:rFonts w:ascii="Segoe UI Symbol" w:eastAsia="仿宋" w:hAnsi="Segoe UI Symbol" w:cs="Segoe UI Symbol"/>
                <w:sz w:val="28"/>
                <w:szCs w:val="28"/>
              </w:rPr>
              <w:t>☑</w:t>
            </w:r>
            <w:r w:rsidRPr="00F104DE">
              <w:rPr>
                <w:rFonts w:ascii="仿宋" w:eastAsia="仿宋" w:hAnsi="仿宋" w:hint="eastAsia"/>
                <w:sz w:val="28"/>
                <w:szCs w:val="28"/>
              </w:rPr>
              <w:t>颁发专用条件</w:t>
            </w:r>
            <w:r w:rsidRPr="00F104DE">
              <w:rPr>
                <w:rFonts w:ascii="仿宋" w:eastAsia="仿宋" w:hAnsi="仿宋" w:cs="Times New Roman"/>
                <w:sz w:val="28"/>
                <w:szCs w:val="28"/>
              </w:rPr>
              <w:t xml:space="preserve">  </w:t>
            </w:r>
            <w:r w:rsidRPr="00F104DE">
              <w:rPr>
                <w:rFonts w:ascii="仿宋" w:eastAsia="仿宋" w:hAnsi="仿宋" w:cs="Times New Roman" w:hint="eastAsia"/>
                <w:sz w:val="28"/>
                <w:szCs w:val="28"/>
              </w:rPr>
              <w:t>□</w:t>
            </w:r>
            <w:r w:rsidRPr="00F104DE">
              <w:rPr>
                <w:rFonts w:ascii="仿宋" w:eastAsia="仿宋" w:hAnsi="仿宋" w:hint="eastAsia"/>
                <w:sz w:val="28"/>
                <w:szCs w:val="28"/>
              </w:rPr>
              <w:t>批准豁免</w:t>
            </w:r>
          </w:p>
        </w:tc>
      </w:tr>
      <w:tr w:rsidR="002B0651" w:rsidRPr="00F104DE" w14:paraId="15CC4A26" w14:textId="77777777" w:rsidTr="00C4347B">
        <w:tc>
          <w:tcPr>
            <w:tcW w:w="2840" w:type="dxa"/>
            <w:gridSpan w:val="4"/>
            <w:tcBorders>
              <w:top w:val="single" w:sz="4" w:space="0" w:color="000000"/>
              <w:left w:val="single" w:sz="4" w:space="0" w:color="000000"/>
              <w:bottom w:val="single" w:sz="4" w:space="0" w:color="000000"/>
              <w:right w:val="single" w:sz="4" w:space="0" w:color="000000"/>
            </w:tcBorders>
            <w:hideMark/>
          </w:tcPr>
          <w:p w14:paraId="0E159D48" w14:textId="77777777" w:rsidR="002B0651" w:rsidRPr="00F104DE" w:rsidRDefault="002B0651" w:rsidP="00C4347B">
            <w:pPr>
              <w:rPr>
                <w:rFonts w:ascii="仿宋" w:eastAsia="仿宋" w:hAnsi="仿宋"/>
                <w:sz w:val="28"/>
                <w:szCs w:val="28"/>
              </w:rPr>
            </w:pPr>
            <w:r w:rsidRPr="00F104DE">
              <w:rPr>
                <w:rFonts w:ascii="仿宋" w:eastAsia="仿宋" w:hAnsi="仿宋" w:hint="eastAsia"/>
                <w:sz w:val="28"/>
                <w:szCs w:val="28"/>
              </w:rPr>
              <w:t>征求意见稿编号</w:t>
            </w:r>
          </w:p>
        </w:tc>
        <w:tc>
          <w:tcPr>
            <w:tcW w:w="5682" w:type="dxa"/>
            <w:gridSpan w:val="2"/>
            <w:tcBorders>
              <w:top w:val="single" w:sz="4" w:space="0" w:color="000000"/>
              <w:left w:val="single" w:sz="4" w:space="0" w:color="000000"/>
              <w:bottom w:val="single" w:sz="4" w:space="0" w:color="000000"/>
              <w:right w:val="single" w:sz="4" w:space="0" w:color="000000"/>
            </w:tcBorders>
          </w:tcPr>
          <w:p w14:paraId="6E3F8488" w14:textId="0D4397AC" w:rsidR="002B0651" w:rsidRPr="00F104DE" w:rsidRDefault="002E548B" w:rsidP="00C4347B">
            <w:pPr>
              <w:rPr>
                <w:rFonts w:ascii="仿宋" w:eastAsia="仿宋" w:hAnsi="仿宋"/>
                <w:sz w:val="28"/>
                <w:szCs w:val="28"/>
              </w:rPr>
            </w:pPr>
            <w:r w:rsidRPr="00F104DE">
              <w:rPr>
                <w:rFonts w:ascii="仿宋" w:eastAsia="仿宋" w:hAnsi="仿宋" w:hint="eastAsia"/>
                <w:sz w:val="28"/>
                <w:szCs w:val="28"/>
              </w:rPr>
              <w:t>XXX</w:t>
            </w:r>
          </w:p>
        </w:tc>
      </w:tr>
      <w:tr w:rsidR="002B0651" w:rsidRPr="00F104DE" w14:paraId="2991AC68" w14:textId="77777777" w:rsidTr="00C4347B">
        <w:tc>
          <w:tcPr>
            <w:tcW w:w="2518" w:type="dxa"/>
            <w:gridSpan w:val="3"/>
            <w:tcBorders>
              <w:top w:val="single" w:sz="4" w:space="0" w:color="000000"/>
              <w:left w:val="single" w:sz="4" w:space="0" w:color="000000"/>
              <w:bottom w:val="single" w:sz="4" w:space="0" w:color="000000"/>
              <w:right w:val="single" w:sz="4" w:space="0" w:color="000000"/>
            </w:tcBorders>
            <w:hideMark/>
          </w:tcPr>
          <w:p w14:paraId="59454747" w14:textId="77777777" w:rsidR="002B0651" w:rsidRPr="00F104DE" w:rsidRDefault="002B0651" w:rsidP="00C4347B">
            <w:pPr>
              <w:rPr>
                <w:rFonts w:ascii="仿宋" w:eastAsia="仿宋" w:hAnsi="仿宋"/>
                <w:sz w:val="28"/>
                <w:szCs w:val="28"/>
              </w:rPr>
            </w:pPr>
            <w:r w:rsidRPr="00F104DE">
              <w:rPr>
                <w:rFonts w:ascii="仿宋" w:eastAsia="仿宋" w:hAnsi="仿宋" w:hint="eastAsia"/>
                <w:sz w:val="28"/>
                <w:szCs w:val="28"/>
              </w:rPr>
              <w:t>航空产品型号</w:t>
            </w:r>
          </w:p>
        </w:tc>
        <w:tc>
          <w:tcPr>
            <w:tcW w:w="6004" w:type="dxa"/>
            <w:gridSpan w:val="3"/>
            <w:tcBorders>
              <w:top w:val="single" w:sz="4" w:space="0" w:color="000000"/>
              <w:left w:val="single" w:sz="4" w:space="0" w:color="000000"/>
              <w:bottom w:val="single" w:sz="4" w:space="0" w:color="000000"/>
              <w:right w:val="single" w:sz="4" w:space="0" w:color="000000"/>
            </w:tcBorders>
            <w:hideMark/>
          </w:tcPr>
          <w:p w14:paraId="51CC66D4" w14:textId="0A10B870" w:rsidR="002B0651" w:rsidRPr="00F104DE" w:rsidRDefault="002E548B" w:rsidP="00C4347B">
            <w:pPr>
              <w:rPr>
                <w:rFonts w:ascii="仿宋" w:eastAsia="仿宋" w:hAnsi="仿宋"/>
                <w:sz w:val="28"/>
                <w:szCs w:val="28"/>
              </w:rPr>
            </w:pPr>
            <w:r w:rsidRPr="00F104DE">
              <w:rPr>
                <w:rFonts w:ascii="仿宋" w:eastAsia="仿宋" w:hAnsi="仿宋" w:hint="eastAsia"/>
                <w:sz w:val="28"/>
                <w:szCs w:val="28"/>
              </w:rPr>
              <w:t>AG</w:t>
            </w:r>
            <w:r w:rsidRPr="00F104DE">
              <w:rPr>
                <w:rFonts w:ascii="仿宋" w:eastAsia="仿宋" w:hAnsi="仿宋"/>
                <w:sz w:val="28"/>
                <w:szCs w:val="28"/>
              </w:rPr>
              <w:t>1</w:t>
            </w:r>
            <w:r w:rsidR="002B0651" w:rsidRPr="00F104DE">
              <w:rPr>
                <w:rFonts w:ascii="仿宋" w:eastAsia="仿宋" w:hAnsi="仿宋" w:hint="eastAsia"/>
                <w:sz w:val="28"/>
                <w:szCs w:val="28"/>
              </w:rPr>
              <w:t>00型飞机</w:t>
            </w:r>
          </w:p>
        </w:tc>
      </w:tr>
      <w:tr w:rsidR="002B0651" w:rsidRPr="00F104DE" w14:paraId="2E91787B" w14:textId="77777777" w:rsidTr="00C4347B">
        <w:tc>
          <w:tcPr>
            <w:tcW w:w="8522" w:type="dxa"/>
            <w:gridSpan w:val="6"/>
            <w:tcBorders>
              <w:top w:val="single" w:sz="4" w:space="0" w:color="000000"/>
              <w:left w:val="single" w:sz="4" w:space="0" w:color="000000"/>
              <w:bottom w:val="single" w:sz="4" w:space="0" w:color="000000"/>
              <w:right w:val="single" w:sz="4" w:space="0" w:color="000000"/>
            </w:tcBorders>
            <w:hideMark/>
          </w:tcPr>
          <w:p w14:paraId="548FE001" w14:textId="77777777" w:rsidR="002B0651" w:rsidRPr="00F104DE" w:rsidRDefault="002B0651" w:rsidP="00C4347B">
            <w:pPr>
              <w:rPr>
                <w:rFonts w:ascii="仿宋" w:eastAsia="仿宋" w:hAnsi="仿宋"/>
                <w:sz w:val="28"/>
                <w:szCs w:val="28"/>
              </w:rPr>
            </w:pPr>
            <w:r w:rsidRPr="00F104DE">
              <w:rPr>
                <w:rFonts w:ascii="仿宋" w:eastAsia="仿宋" w:hAnsi="仿宋" w:hint="eastAsia"/>
                <w:sz w:val="28"/>
                <w:szCs w:val="28"/>
              </w:rPr>
              <w:t>相关的适航规章和/或环保要求</w:t>
            </w:r>
          </w:p>
        </w:tc>
      </w:tr>
      <w:tr w:rsidR="002B0651" w:rsidRPr="00F104DE" w14:paraId="15E97E48" w14:textId="77777777" w:rsidTr="00C4347B">
        <w:trPr>
          <w:trHeight w:val="942"/>
        </w:trPr>
        <w:tc>
          <w:tcPr>
            <w:tcW w:w="8522" w:type="dxa"/>
            <w:gridSpan w:val="6"/>
            <w:tcBorders>
              <w:top w:val="single" w:sz="4" w:space="0" w:color="000000"/>
              <w:left w:val="single" w:sz="4" w:space="0" w:color="000000"/>
              <w:bottom w:val="single" w:sz="4" w:space="0" w:color="000000"/>
              <w:right w:val="single" w:sz="4" w:space="0" w:color="000000"/>
            </w:tcBorders>
          </w:tcPr>
          <w:p w14:paraId="1DC7D2AA" w14:textId="40460612" w:rsidR="002B0651" w:rsidRPr="00F104DE" w:rsidRDefault="00EC6082" w:rsidP="00C4347B">
            <w:pPr>
              <w:rPr>
                <w:rFonts w:ascii="仿宋" w:eastAsia="仿宋" w:hAnsi="仿宋"/>
                <w:sz w:val="28"/>
                <w:szCs w:val="28"/>
              </w:rPr>
            </w:pPr>
            <w:r w:rsidRPr="00885EFF">
              <w:rPr>
                <w:rFonts w:ascii="仿宋" w:eastAsia="仿宋" w:hAnsi="仿宋"/>
                <w:sz w:val="28"/>
              </w:rPr>
              <w:t>CCAR</w:t>
            </w:r>
            <w:r>
              <w:rPr>
                <w:rFonts w:ascii="仿宋" w:eastAsia="仿宋" w:hAnsi="仿宋" w:hint="eastAsia"/>
                <w:sz w:val="28"/>
              </w:rPr>
              <w:t>-</w:t>
            </w:r>
            <w:r>
              <w:rPr>
                <w:rFonts w:ascii="仿宋" w:eastAsia="仿宋" w:hAnsi="仿宋"/>
                <w:sz w:val="28"/>
              </w:rPr>
              <w:t xml:space="preserve">21 </w:t>
            </w:r>
            <w:r>
              <w:rPr>
                <w:rFonts w:ascii="仿宋" w:eastAsia="仿宋" w:hAnsi="仿宋" w:hint="eastAsia"/>
                <w:sz w:val="28"/>
              </w:rPr>
              <w:t>第</w:t>
            </w:r>
            <w:r w:rsidRPr="00885EFF">
              <w:rPr>
                <w:rFonts w:ascii="仿宋" w:eastAsia="仿宋" w:hAnsi="仿宋" w:hint="eastAsia"/>
                <w:sz w:val="28"/>
              </w:rPr>
              <w:t>2</w:t>
            </w:r>
            <w:r w:rsidRPr="00885EFF">
              <w:rPr>
                <w:rFonts w:ascii="仿宋" w:eastAsia="仿宋" w:hAnsi="仿宋"/>
                <w:sz w:val="28"/>
              </w:rPr>
              <w:t>1.16</w:t>
            </w:r>
            <w:r w:rsidRPr="00885EFF">
              <w:rPr>
                <w:rFonts w:ascii="仿宋" w:eastAsia="仿宋" w:hAnsi="仿宋" w:hint="eastAsia"/>
                <w:sz w:val="28"/>
              </w:rPr>
              <w:t>条</w:t>
            </w:r>
            <w:r>
              <w:rPr>
                <w:rFonts w:ascii="仿宋" w:eastAsia="仿宋" w:hAnsi="仿宋" w:hint="eastAsia"/>
                <w:sz w:val="28"/>
              </w:rPr>
              <w:t>、</w:t>
            </w:r>
            <w:r w:rsidR="002B0651" w:rsidRPr="00F104DE">
              <w:rPr>
                <w:rFonts w:ascii="仿宋" w:eastAsia="仿宋" w:hAnsi="仿宋" w:hint="eastAsia"/>
                <w:sz w:val="28"/>
                <w:szCs w:val="28"/>
              </w:rPr>
              <w:t>CCAR-23-R3</w:t>
            </w:r>
          </w:p>
        </w:tc>
      </w:tr>
      <w:tr w:rsidR="002B0651" w:rsidRPr="00F104DE" w14:paraId="06C958B6" w14:textId="77777777" w:rsidTr="00C4347B">
        <w:trPr>
          <w:trHeight w:val="682"/>
        </w:trPr>
        <w:tc>
          <w:tcPr>
            <w:tcW w:w="8522" w:type="dxa"/>
            <w:gridSpan w:val="6"/>
            <w:tcBorders>
              <w:top w:val="single" w:sz="4" w:space="0" w:color="000000"/>
              <w:left w:val="single" w:sz="4" w:space="0" w:color="000000"/>
              <w:bottom w:val="single" w:sz="4" w:space="0" w:color="000000"/>
              <w:right w:val="single" w:sz="4" w:space="0" w:color="000000"/>
            </w:tcBorders>
            <w:hideMark/>
          </w:tcPr>
          <w:p w14:paraId="399E3E50" w14:textId="77777777" w:rsidR="002B0651" w:rsidRPr="00F104DE" w:rsidRDefault="002B0651" w:rsidP="00C4347B">
            <w:pPr>
              <w:rPr>
                <w:rFonts w:ascii="仿宋" w:eastAsia="仿宋" w:hAnsi="仿宋"/>
                <w:sz w:val="28"/>
                <w:szCs w:val="28"/>
              </w:rPr>
            </w:pPr>
            <w:r w:rsidRPr="00F104DE">
              <w:rPr>
                <w:rFonts w:ascii="仿宋" w:eastAsia="仿宋" w:hAnsi="仿宋" w:hint="eastAsia"/>
                <w:sz w:val="28"/>
                <w:szCs w:val="28"/>
              </w:rPr>
              <w:t>意见或建议</w:t>
            </w:r>
          </w:p>
        </w:tc>
      </w:tr>
      <w:tr w:rsidR="002B0651" w:rsidRPr="00F104DE" w14:paraId="0776DF5F" w14:textId="77777777" w:rsidTr="00D81A11">
        <w:trPr>
          <w:trHeight w:val="5118"/>
        </w:trPr>
        <w:tc>
          <w:tcPr>
            <w:tcW w:w="8522" w:type="dxa"/>
            <w:gridSpan w:val="6"/>
            <w:tcBorders>
              <w:top w:val="single" w:sz="4" w:space="0" w:color="000000"/>
              <w:left w:val="single" w:sz="4" w:space="0" w:color="000000"/>
              <w:bottom w:val="single" w:sz="4" w:space="0" w:color="000000"/>
              <w:right w:val="single" w:sz="4" w:space="0" w:color="000000"/>
            </w:tcBorders>
          </w:tcPr>
          <w:p w14:paraId="755CE2D4" w14:textId="77777777" w:rsidR="002B0651" w:rsidRPr="00F104DE" w:rsidRDefault="002B0651" w:rsidP="00C4347B">
            <w:pPr>
              <w:ind w:firstLine="420"/>
              <w:rPr>
                <w:rFonts w:ascii="仿宋" w:eastAsia="仿宋" w:hAnsi="仿宋"/>
                <w:szCs w:val="22"/>
              </w:rPr>
            </w:pPr>
          </w:p>
        </w:tc>
      </w:tr>
      <w:tr w:rsidR="002B0651" w:rsidRPr="00F104DE" w14:paraId="69EA61FD" w14:textId="77777777" w:rsidTr="00C4347B">
        <w:trPr>
          <w:trHeight w:val="295"/>
        </w:trPr>
        <w:tc>
          <w:tcPr>
            <w:tcW w:w="8522" w:type="dxa"/>
            <w:gridSpan w:val="6"/>
            <w:tcBorders>
              <w:top w:val="single" w:sz="4" w:space="0" w:color="000000"/>
              <w:left w:val="single" w:sz="4" w:space="0" w:color="000000"/>
              <w:bottom w:val="nil"/>
              <w:right w:val="single" w:sz="4" w:space="0" w:color="000000"/>
            </w:tcBorders>
          </w:tcPr>
          <w:p w14:paraId="7663F8D4" w14:textId="77777777" w:rsidR="002B0651" w:rsidRPr="00F104DE" w:rsidRDefault="002B0651" w:rsidP="00C4347B">
            <w:pPr>
              <w:spacing w:line="360" w:lineRule="auto"/>
              <w:rPr>
                <w:rFonts w:ascii="仿宋" w:eastAsia="仿宋" w:hAnsi="仿宋"/>
                <w:sz w:val="28"/>
                <w:szCs w:val="28"/>
              </w:rPr>
            </w:pPr>
          </w:p>
          <w:p w14:paraId="744DDB7E" w14:textId="77777777" w:rsidR="002B0651" w:rsidRPr="00F104DE" w:rsidRDefault="002B0651" w:rsidP="00C4347B">
            <w:pPr>
              <w:spacing w:line="360" w:lineRule="auto"/>
              <w:rPr>
                <w:rFonts w:ascii="仿宋" w:eastAsia="仿宋" w:hAnsi="仿宋"/>
                <w:sz w:val="28"/>
                <w:szCs w:val="28"/>
                <w:u w:val="single"/>
              </w:rPr>
            </w:pPr>
            <w:r w:rsidRPr="00F104DE">
              <w:rPr>
                <w:rFonts w:ascii="仿宋" w:eastAsia="仿宋" w:hAnsi="仿宋" w:hint="eastAsia"/>
                <w:sz w:val="28"/>
                <w:szCs w:val="28"/>
              </w:rPr>
              <w:t xml:space="preserve">姓名: </w:t>
            </w:r>
            <w:r w:rsidRPr="00F104DE">
              <w:rPr>
                <w:rFonts w:ascii="仿宋" w:eastAsia="仿宋" w:hAnsi="仿宋" w:hint="eastAsia"/>
                <w:sz w:val="28"/>
                <w:szCs w:val="28"/>
                <w:u w:val="single"/>
              </w:rPr>
              <w:t xml:space="preserve">          </w:t>
            </w:r>
            <w:r w:rsidRPr="00F104DE">
              <w:rPr>
                <w:rFonts w:ascii="仿宋" w:eastAsia="仿宋" w:hAnsi="仿宋" w:hint="eastAsia"/>
                <w:sz w:val="28"/>
                <w:szCs w:val="28"/>
              </w:rPr>
              <w:t>（印刷体）</w:t>
            </w:r>
            <w:r w:rsidRPr="00F104DE">
              <w:rPr>
                <w:rFonts w:ascii="仿宋" w:eastAsia="仿宋" w:hAnsi="仿宋" w:hint="eastAsia"/>
                <w:sz w:val="28"/>
                <w:szCs w:val="28"/>
                <w:u w:val="single"/>
              </w:rPr>
              <w:t xml:space="preserve">             </w:t>
            </w:r>
            <w:r w:rsidRPr="00F104DE">
              <w:rPr>
                <w:rFonts w:ascii="仿宋" w:eastAsia="仿宋" w:hAnsi="仿宋" w:hint="eastAsia"/>
                <w:sz w:val="28"/>
                <w:szCs w:val="28"/>
              </w:rPr>
              <w:t xml:space="preserve"> （签名）</w:t>
            </w:r>
          </w:p>
        </w:tc>
      </w:tr>
      <w:tr w:rsidR="002B0651" w:rsidRPr="00F104DE" w14:paraId="4E132F34" w14:textId="77777777" w:rsidTr="00C4347B">
        <w:tc>
          <w:tcPr>
            <w:tcW w:w="2376" w:type="dxa"/>
            <w:gridSpan w:val="2"/>
            <w:tcBorders>
              <w:top w:val="nil"/>
              <w:left w:val="single" w:sz="4" w:space="0" w:color="000000"/>
              <w:bottom w:val="nil"/>
              <w:right w:val="nil"/>
            </w:tcBorders>
            <w:hideMark/>
          </w:tcPr>
          <w:p w14:paraId="5FBE126E" w14:textId="77777777" w:rsidR="002B0651" w:rsidRPr="00F104DE" w:rsidRDefault="002B0651" w:rsidP="00C4347B">
            <w:pPr>
              <w:spacing w:line="360" w:lineRule="auto"/>
              <w:rPr>
                <w:rFonts w:ascii="仿宋" w:eastAsia="仿宋" w:hAnsi="仿宋"/>
                <w:sz w:val="28"/>
                <w:szCs w:val="28"/>
                <w:u w:val="single"/>
              </w:rPr>
            </w:pPr>
            <w:r w:rsidRPr="00F104DE">
              <w:rPr>
                <w:rFonts w:ascii="仿宋" w:eastAsia="仿宋" w:hAnsi="仿宋" w:hint="eastAsia"/>
                <w:sz w:val="28"/>
                <w:szCs w:val="28"/>
              </w:rPr>
              <w:t>电话：</w:t>
            </w:r>
            <w:r w:rsidRPr="00F104DE">
              <w:rPr>
                <w:rFonts w:ascii="仿宋" w:eastAsia="仿宋" w:hAnsi="仿宋" w:hint="eastAsia"/>
                <w:sz w:val="28"/>
                <w:szCs w:val="28"/>
                <w:u w:val="single"/>
              </w:rPr>
              <w:t xml:space="preserve">            </w:t>
            </w:r>
          </w:p>
        </w:tc>
        <w:tc>
          <w:tcPr>
            <w:tcW w:w="2694" w:type="dxa"/>
            <w:gridSpan w:val="3"/>
            <w:tcBorders>
              <w:top w:val="nil"/>
              <w:left w:val="nil"/>
              <w:bottom w:val="nil"/>
              <w:right w:val="nil"/>
            </w:tcBorders>
            <w:hideMark/>
          </w:tcPr>
          <w:p w14:paraId="19D5F8E7" w14:textId="77777777" w:rsidR="002B0651" w:rsidRPr="00F104DE" w:rsidRDefault="002B0651" w:rsidP="00C4347B">
            <w:pPr>
              <w:spacing w:line="360" w:lineRule="auto"/>
              <w:rPr>
                <w:rFonts w:ascii="仿宋" w:eastAsia="仿宋" w:hAnsi="仿宋"/>
                <w:sz w:val="28"/>
                <w:szCs w:val="28"/>
              </w:rPr>
            </w:pPr>
            <w:r w:rsidRPr="00F104DE">
              <w:rPr>
                <w:rFonts w:ascii="仿宋" w:eastAsia="仿宋" w:hAnsi="仿宋" w:hint="eastAsia"/>
                <w:sz w:val="28"/>
                <w:szCs w:val="28"/>
              </w:rPr>
              <w:t>传真：</w:t>
            </w:r>
            <w:r w:rsidRPr="00F104DE">
              <w:rPr>
                <w:rFonts w:ascii="仿宋" w:eastAsia="仿宋" w:hAnsi="仿宋" w:hint="eastAsia"/>
                <w:sz w:val="28"/>
                <w:szCs w:val="28"/>
                <w:u w:val="single"/>
              </w:rPr>
              <w:t xml:space="preserve">            </w:t>
            </w:r>
          </w:p>
        </w:tc>
        <w:tc>
          <w:tcPr>
            <w:tcW w:w="3452" w:type="dxa"/>
            <w:tcBorders>
              <w:top w:val="nil"/>
              <w:left w:val="nil"/>
              <w:bottom w:val="nil"/>
              <w:right w:val="single" w:sz="4" w:space="0" w:color="000000"/>
            </w:tcBorders>
            <w:hideMark/>
          </w:tcPr>
          <w:p w14:paraId="40BA81D2" w14:textId="77777777" w:rsidR="002B0651" w:rsidRPr="00F104DE" w:rsidRDefault="002B0651" w:rsidP="00C4347B">
            <w:pPr>
              <w:spacing w:line="360" w:lineRule="auto"/>
              <w:rPr>
                <w:rFonts w:ascii="仿宋" w:eastAsia="仿宋" w:hAnsi="仿宋"/>
                <w:sz w:val="28"/>
                <w:szCs w:val="28"/>
                <w:u w:val="single"/>
              </w:rPr>
            </w:pPr>
            <w:r w:rsidRPr="00F104DE">
              <w:rPr>
                <w:rFonts w:ascii="仿宋" w:eastAsia="仿宋" w:hAnsi="仿宋" w:hint="eastAsia"/>
                <w:sz w:val="28"/>
                <w:szCs w:val="28"/>
              </w:rPr>
              <w:t>电子邮件</w:t>
            </w:r>
            <w:r w:rsidRPr="00F104DE">
              <w:rPr>
                <w:rFonts w:ascii="仿宋" w:eastAsia="仿宋" w:hAnsi="仿宋" w:hint="eastAsia"/>
                <w:sz w:val="28"/>
                <w:szCs w:val="28"/>
                <w:u w:val="single"/>
              </w:rPr>
              <w:t xml:space="preserve">            </w:t>
            </w:r>
          </w:p>
        </w:tc>
      </w:tr>
      <w:tr w:rsidR="002B0651" w:rsidRPr="00F104DE" w14:paraId="099554AE" w14:textId="77777777" w:rsidTr="00C4347B">
        <w:tc>
          <w:tcPr>
            <w:tcW w:w="8522" w:type="dxa"/>
            <w:gridSpan w:val="6"/>
            <w:tcBorders>
              <w:top w:val="nil"/>
              <w:left w:val="single" w:sz="4" w:space="0" w:color="000000"/>
              <w:bottom w:val="nil"/>
              <w:right w:val="single" w:sz="4" w:space="0" w:color="000000"/>
            </w:tcBorders>
            <w:hideMark/>
          </w:tcPr>
          <w:p w14:paraId="5106B688" w14:textId="77777777" w:rsidR="002B0651" w:rsidRPr="00F104DE" w:rsidRDefault="002B0651" w:rsidP="00C4347B">
            <w:pPr>
              <w:spacing w:line="360" w:lineRule="auto"/>
              <w:rPr>
                <w:rFonts w:ascii="仿宋" w:eastAsia="仿宋" w:hAnsi="仿宋"/>
                <w:sz w:val="28"/>
                <w:szCs w:val="28"/>
                <w:u w:val="single"/>
              </w:rPr>
            </w:pPr>
            <w:r w:rsidRPr="00F104DE">
              <w:rPr>
                <w:rFonts w:ascii="仿宋" w:eastAsia="仿宋" w:hAnsi="仿宋" w:hint="eastAsia"/>
                <w:sz w:val="28"/>
                <w:szCs w:val="28"/>
              </w:rPr>
              <w:t>通信地址：</w:t>
            </w:r>
            <w:r w:rsidRPr="00F104DE">
              <w:rPr>
                <w:rFonts w:ascii="仿宋" w:eastAsia="仿宋" w:hAnsi="仿宋" w:hint="eastAsia"/>
                <w:sz w:val="28"/>
                <w:szCs w:val="28"/>
                <w:u w:val="single"/>
              </w:rPr>
              <w:t xml:space="preserve">                                                            </w:t>
            </w:r>
          </w:p>
        </w:tc>
      </w:tr>
      <w:tr w:rsidR="002B0651" w:rsidRPr="00F104DE" w14:paraId="2934E703" w14:textId="77777777" w:rsidTr="00C4347B">
        <w:trPr>
          <w:trHeight w:val="666"/>
        </w:trPr>
        <w:tc>
          <w:tcPr>
            <w:tcW w:w="8522" w:type="dxa"/>
            <w:gridSpan w:val="6"/>
            <w:tcBorders>
              <w:top w:val="nil"/>
              <w:left w:val="single" w:sz="4" w:space="0" w:color="000000"/>
              <w:bottom w:val="single" w:sz="4" w:space="0" w:color="000000"/>
              <w:right w:val="single" w:sz="4" w:space="0" w:color="000000"/>
            </w:tcBorders>
            <w:hideMark/>
          </w:tcPr>
          <w:p w14:paraId="40DE3F73" w14:textId="77777777" w:rsidR="002B0651" w:rsidRPr="00F104DE" w:rsidRDefault="002B0651" w:rsidP="00C4347B">
            <w:pPr>
              <w:spacing w:line="360" w:lineRule="auto"/>
              <w:rPr>
                <w:rFonts w:ascii="仿宋" w:eastAsia="仿宋" w:hAnsi="仿宋"/>
                <w:sz w:val="28"/>
                <w:szCs w:val="28"/>
                <w:u w:val="single"/>
              </w:rPr>
            </w:pPr>
            <w:r w:rsidRPr="00F104DE">
              <w:rPr>
                <w:rFonts w:ascii="仿宋" w:eastAsia="仿宋" w:hAnsi="仿宋" w:hint="eastAsia"/>
                <w:sz w:val="28"/>
                <w:szCs w:val="28"/>
              </w:rPr>
              <w:t>日期：</w:t>
            </w:r>
            <w:r w:rsidRPr="00F104DE">
              <w:rPr>
                <w:rFonts w:ascii="仿宋" w:eastAsia="仿宋" w:hAnsi="仿宋" w:hint="eastAsia"/>
                <w:sz w:val="28"/>
                <w:szCs w:val="28"/>
                <w:u w:val="single"/>
              </w:rPr>
              <w:t xml:space="preserve">            </w:t>
            </w:r>
          </w:p>
        </w:tc>
      </w:tr>
    </w:tbl>
    <w:p w14:paraId="6C75722D" w14:textId="50D51F03" w:rsidR="00C86BC3" w:rsidRPr="00F104DE" w:rsidRDefault="002B0651" w:rsidP="00EA1A5C">
      <w:pPr>
        <w:rPr>
          <w:rFonts w:ascii="仿宋" w:eastAsia="仿宋" w:hAnsi="仿宋" w:cs="Times New Roman"/>
        </w:rPr>
      </w:pPr>
      <w:r w:rsidRPr="00F104DE">
        <w:rPr>
          <w:rFonts w:ascii="仿宋" w:eastAsia="仿宋" w:hAnsi="仿宋" w:hint="eastAsia"/>
        </w:rPr>
        <w:t>CAAC 表 AAC-267（11/2012）</w:t>
      </w:r>
    </w:p>
    <w:sectPr w:rsidR="00C86BC3" w:rsidRPr="00F104DE" w:rsidSect="00A916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F58A" w14:textId="77777777" w:rsidR="00806144" w:rsidRDefault="00806144" w:rsidP="00827FEC">
      <w:r>
        <w:separator/>
      </w:r>
    </w:p>
  </w:endnote>
  <w:endnote w:type="continuationSeparator" w:id="0">
    <w:p w14:paraId="4341D4BC" w14:textId="77777777" w:rsidR="00806144" w:rsidRDefault="00806144" w:rsidP="008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064F" w14:textId="72D9C29A" w:rsidR="00C86BC3" w:rsidRPr="00F36670" w:rsidRDefault="00CB4EDA" w:rsidP="00F36670">
    <w:pPr>
      <w:pStyle w:val="a5"/>
      <w:jc w:val="center"/>
      <w:rPr>
        <w:rFonts w:ascii="仿宋_GB2312" w:eastAsia="仿宋_GB2312"/>
        <w:sz w:val="21"/>
        <w:szCs w:val="21"/>
      </w:rPr>
    </w:pPr>
    <w:r w:rsidRPr="00F36670">
      <w:rPr>
        <w:rFonts w:ascii="仿宋_GB2312" w:eastAsia="仿宋_GB2312"/>
        <w:sz w:val="21"/>
        <w:szCs w:val="21"/>
      </w:rPr>
      <w:fldChar w:fldCharType="begin"/>
    </w:r>
    <w:r w:rsidR="00C86BC3" w:rsidRPr="00F36670">
      <w:rPr>
        <w:rFonts w:ascii="仿宋_GB2312" w:eastAsia="仿宋_GB2312"/>
        <w:sz w:val="21"/>
        <w:szCs w:val="21"/>
      </w:rPr>
      <w:instrText>PAGE   \* MERGEFORMAT</w:instrText>
    </w:r>
    <w:r w:rsidRPr="00F36670">
      <w:rPr>
        <w:rFonts w:ascii="仿宋_GB2312" w:eastAsia="仿宋_GB2312"/>
        <w:sz w:val="21"/>
        <w:szCs w:val="21"/>
      </w:rPr>
      <w:fldChar w:fldCharType="separate"/>
    </w:r>
    <w:r w:rsidR="00EC19CE" w:rsidRPr="00EC19CE">
      <w:rPr>
        <w:rFonts w:ascii="仿宋_GB2312" w:eastAsia="仿宋_GB2312"/>
        <w:noProof/>
        <w:sz w:val="21"/>
        <w:szCs w:val="21"/>
        <w:lang w:val="zh-CN"/>
      </w:rPr>
      <w:t>2</w:t>
    </w:r>
    <w:r w:rsidRPr="00F36670">
      <w:rPr>
        <w:rFonts w:ascii="仿宋_GB2312" w:eastAsia="仿宋_GB2312"/>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9386" w14:textId="77777777" w:rsidR="00806144" w:rsidRDefault="00806144" w:rsidP="00827FEC">
      <w:r>
        <w:separator/>
      </w:r>
    </w:p>
  </w:footnote>
  <w:footnote w:type="continuationSeparator" w:id="0">
    <w:p w14:paraId="46A38711" w14:textId="77777777" w:rsidR="00806144" w:rsidRDefault="00806144" w:rsidP="0082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510363"/>
    <w:multiLevelType w:val="singleLevel"/>
    <w:tmpl w:val="BD510363"/>
    <w:lvl w:ilvl="0">
      <w:start w:val="1"/>
      <w:numFmt w:val="lowerLetter"/>
      <w:suff w:val="space"/>
      <w:lvlText w:val="%1."/>
      <w:lvlJc w:val="left"/>
      <w:rPr>
        <w:rFonts w:cs="Times New Roman"/>
      </w:rPr>
    </w:lvl>
  </w:abstractNum>
  <w:abstractNum w:abstractNumId="1" w15:restartNumberingAfterBreak="0">
    <w:nsid w:val="17FA1094"/>
    <w:multiLevelType w:val="multilevel"/>
    <w:tmpl w:val="17FA1094"/>
    <w:lvl w:ilvl="0">
      <w:start w:val="1"/>
      <w:numFmt w:val="decimal"/>
      <w:lvlText w:val="%1."/>
      <w:lvlJc w:val="left"/>
      <w:pPr>
        <w:ind w:left="420" w:hanging="420"/>
      </w:pPr>
      <w:rPr>
        <w:rFonts w:cs="仿宋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9C"/>
    <w:rsid w:val="000111FA"/>
    <w:rsid w:val="0002443A"/>
    <w:rsid w:val="00037743"/>
    <w:rsid w:val="00047EF1"/>
    <w:rsid w:val="00063C1A"/>
    <w:rsid w:val="000678DA"/>
    <w:rsid w:val="000746F7"/>
    <w:rsid w:val="00085E73"/>
    <w:rsid w:val="000A0B8C"/>
    <w:rsid w:val="000C4202"/>
    <w:rsid w:val="000D42A0"/>
    <w:rsid w:val="000E2A8A"/>
    <w:rsid w:val="000E459F"/>
    <w:rsid w:val="000E5C4A"/>
    <w:rsid w:val="000F28DB"/>
    <w:rsid w:val="000F6326"/>
    <w:rsid w:val="00103CC2"/>
    <w:rsid w:val="00112257"/>
    <w:rsid w:val="00114A73"/>
    <w:rsid w:val="00123C7D"/>
    <w:rsid w:val="00126E1C"/>
    <w:rsid w:val="001354D7"/>
    <w:rsid w:val="00157C24"/>
    <w:rsid w:val="001662DF"/>
    <w:rsid w:val="00172A27"/>
    <w:rsid w:val="001A0187"/>
    <w:rsid w:val="001B6132"/>
    <w:rsid w:val="001D25A0"/>
    <w:rsid w:val="00206486"/>
    <w:rsid w:val="002217CA"/>
    <w:rsid w:val="00234E88"/>
    <w:rsid w:val="00261637"/>
    <w:rsid w:val="00277F4C"/>
    <w:rsid w:val="00282A2C"/>
    <w:rsid w:val="00294001"/>
    <w:rsid w:val="002979EB"/>
    <w:rsid w:val="002A16DD"/>
    <w:rsid w:val="002A16EC"/>
    <w:rsid w:val="002A352A"/>
    <w:rsid w:val="002B0651"/>
    <w:rsid w:val="002B242E"/>
    <w:rsid w:val="002C400B"/>
    <w:rsid w:val="002D0E51"/>
    <w:rsid w:val="002E548B"/>
    <w:rsid w:val="002F7184"/>
    <w:rsid w:val="003117F6"/>
    <w:rsid w:val="00311E55"/>
    <w:rsid w:val="00315C12"/>
    <w:rsid w:val="00316313"/>
    <w:rsid w:val="00317DD9"/>
    <w:rsid w:val="00351803"/>
    <w:rsid w:val="003610FA"/>
    <w:rsid w:val="00361195"/>
    <w:rsid w:val="00363455"/>
    <w:rsid w:val="00387AE2"/>
    <w:rsid w:val="00395B39"/>
    <w:rsid w:val="00395CAE"/>
    <w:rsid w:val="0039713B"/>
    <w:rsid w:val="003A0C47"/>
    <w:rsid w:val="003B0234"/>
    <w:rsid w:val="003C57AA"/>
    <w:rsid w:val="003D1C0A"/>
    <w:rsid w:val="003E5933"/>
    <w:rsid w:val="00414EF5"/>
    <w:rsid w:val="004355C9"/>
    <w:rsid w:val="00450981"/>
    <w:rsid w:val="004650C7"/>
    <w:rsid w:val="0046750C"/>
    <w:rsid w:val="00490DA5"/>
    <w:rsid w:val="004A7285"/>
    <w:rsid w:val="004C1021"/>
    <w:rsid w:val="004D206E"/>
    <w:rsid w:val="004D6B56"/>
    <w:rsid w:val="004D76AA"/>
    <w:rsid w:val="004E09CE"/>
    <w:rsid w:val="005007C5"/>
    <w:rsid w:val="0051238D"/>
    <w:rsid w:val="0052094E"/>
    <w:rsid w:val="005312B7"/>
    <w:rsid w:val="00533359"/>
    <w:rsid w:val="00534D64"/>
    <w:rsid w:val="00536FB8"/>
    <w:rsid w:val="005523E2"/>
    <w:rsid w:val="00554E4B"/>
    <w:rsid w:val="0055591A"/>
    <w:rsid w:val="0057022C"/>
    <w:rsid w:val="005A2337"/>
    <w:rsid w:val="005C2EF2"/>
    <w:rsid w:val="005F5C6B"/>
    <w:rsid w:val="00603C99"/>
    <w:rsid w:val="006155AE"/>
    <w:rsid w:val="00635150"/>
    <w:rsid w:val="00660F21"/>
    <w:rsid w:val="00664A22"/>
    <w:rsid w:val="00665FAE"/>
    <w:rsid w:val="00682E3B"/>
    <w:rsid w:val="00686876"/>
    <w:rsid w:val="006C48EF"/>
    <w:rsid w:val="006D3E0C"/>
    <w:rsid w:val="007111F5"/>
    <w:rsid w:val="00731ABD"/>
    <w:rsid w:val="00763A3C"/>
    <w:rsid w:val="00777740"/>
    <w:rsid w:val="0079270C"/>
    <w:rsid w:val="00793D25"/>
    <w:rsid w:val="007979C3"/>
    <w:rsid w:val="00797C76"/>
    <w:rsid w:val="007A33C9"/>
    <w:rsid w:val="007A53AA"/>
    <w:rsid w:val="007B199E"/>
    <w:rsid w:val="007B6587"/>
    <w:rsid w:val="007C4723"/>
    <w:rsid w:val="00801BF3"/>
    <w:rsid w:val="00806144"/>
    <w:rsid w:val="00815CD2"/>
    <w:rsid w:val="008257F5"/>
    <w:rsid w:val="00827FEC"/>
    <w:rsid w:val="00832B72"/>
    <w:rsid w:val="0083487E"/>
    <w:rsid w:val="008461FE"/>
    <w:rsid w:val="00856CAF"/>
    <w:rsid w:val="00886D5C"/>
    <w:rsid w:val="00893DBA"/>
    <w:rsid w:val="008C0D74"/>
    <w:rsid w:val="008C388F"/>
    <w:rsid w:val="008C4CC5"/>
    <w:rsid w:val="008D4637"/>
    <w:rsid w:val="008F5600"/>
    <w:rsid w:val="00910AD6"/>
    <w:rsid w:val="00920C82"/>
    <w:rsid w:val="00923377"/>
    <w:rsid w:val="0092484E"/>
    <w:rsid w:val="009272AD"/>
    <w:rsid w:val="00931EE9"/>
    <w:rsid w:val="009350EC"/>
    <w:rsid w:val="00963AAA"/>
    <w:rsid w:val="0097359E"/>
    <w:rsid w:val="009B34E8"/>
    <w:rsid w:val="009D1E63"/>
    <w:rsid w:val="00A01E62"/>
    <w:rsid w:val="00A10918"/>
    <w:rsid w:val="00A11A44"/>
    <w:rsid w:val="00A26563"/>
    <w:rsid w:val="00A33F3B"/>
    <w:rsid w:val="00A54690"/>
    <w:rsid w:val="00A705E6"/>
    <w:rsid w:val="00A753E1"/>
    <w:rsid w:val="00A916B8"/>
    <w:rsid w:val="00AB3DC6"/>
    <w:rsid w:val="00AB6A01"/>
    <w:rsid w:val="00AC042C"/>
    <w:rsid w:val="00AC0593"/>
    <w:rsid w:val="00AC26C0"/>
    <w:rsid w:val="00AC31A0"/>
    <w:rsid w:val="00AE512D"/>
    <w:rsid w:val="00AE5AEA"/>
    <w:rsid w:val="00AE64B2"/>
    <w:rsid w:val="00B1604A"/>
    <w:rsid w:val="00B32BBA"/>
    <w:rsid w:val="00B563B2"/>
    <w:rsid w:val="00B65377"/>
    <w:rsid w:val="00B71D04"/>
    <w:rsid w:val="00B74323"/>
    <w:rsid w:val="00B76E93"/>
    <w:rsid w:val="00BC4BBB"/>
    <w:rsid w:val="00BC78F2"/>
    <w:rsid w:val="00BF13A1"/>
    <w:rsid w:val="00BF43F6"/>
    <w:rsid w:val="00C00E07"/>
    <w:rsid w:val="00C0121A"/>
    <w:rsid w:val="00C23B6B"/>
    <w:rsid w:val="00C35E27"/>
    <w:rsid w:val="00C50E6F"/>
    <w:rsid w:val="00C529B9"/>
    <w:rsid w:val="00C63E43"/>
    <w:rsid w:val="00C6454E"/>
    <w:rsid w:val="00C716E2"/>
    <w:rsid w:val="00C72C95"/>
    <w:rsid w:val="00C82CEC"/>
    <w:rsid w:val="00C86BC3"/>
    <w:rsid w:val="00C92117"/>
    <w:rsid w:val="00CA6657"/>
    <w:rsid w:val="00CB4EDA"/>
    <w:rsid w:val="00CB7C2A"/>
    <w:rsid w:val="00CD39A3"/>
    <w:rsid w:val="00CE6D31"/>
    <w:rsid w:val="00CF003B"/>
    <w:rsid w:val="00CF2309"/>
    <w:rsid w:val="00D00395"/>
    <w:rsid w:val="00D46B08"/>
    <w:rsid w:val="00D51A7D"/>
    <w:rsid w:val="00D66F97"/>
    <w:rsid w:val="00D677AE"/>
    <w:rsid w:val="00D81A11"/>
    <w:rsid w:val="00D8478B"/>
    <w:rsid w:val="00D90947"/>
    <w:rsid w:val="00D93DCA"/>
    <w:rsid w:val="00D96FA0"/>
    <w:rsid w:val="00D979C9"/>
    <w:rsid w:val="00D97C0F"/>
    <w:rsid w:val="00DA4169"/>
    <w:rsid w:val="00DA49C0"/>
    <w:rsid w:val="00DC3DCB"/>
    <w:rsid w:val="00DC7FD9"/>
    <w:rsid w:val="00DD27EC"/>
    <w:rsid w:val="00DD3C39"/>
    <w:rsid w:val="00DD49E0"/>
    <w:rsid w:val="00DE6D50"/>
    <w:rsid w:val="00DE6E16"/>
    <w:rsid w:val="00E0331D"/>
    <w:rsid w:val="00E077F4"/>
    <w:rsid w:val="00E17BC8"/>
    <w:rsid w:val="00E17CA1"/>
    <w:rsid w:val="00E21B3A"/>
    <w:rsid w:val="00E24435"/>
    <w:rsid w:val="00E320F8"/>
    <w:rsid w:val="00E62AB1"/>
    <w:rsid w:val="00E63E71"/>
    <w:rsid w:val="00E77CEE"/>
    <w:rsid w:val="00E90E28"/>
    <w:rsid w:val="00EA1A5C"/>
    <w:rsid w:val="00EA2B35"/>
    <w:rsid w:val="00EB1D66"/>
    <w:rsid w:val="00EB3501"/>
    <w:rsid w:val="00EB388A"/>
    <w:rsid w:val="00EC19CE"/>
    <w:rsid w:val="00EC6082"/>
    <w:rsid w:val="00EC6710"/>
    <w:rsid w:val="00ED1663"/>
    <w:rsid w:val="00ED370C"/>
    <w:rsid w:val="00EF31B0"/>
    <w:rsid w:val="00F07456"/>
    <w:rsid w:val="00F104DE"/>
    <w:rsid w:val="00F13A9C"/>
    <w:rsid w:val="00F21687"/>
    <w:rsid w:val="00F23C03"/>
    <w:rsid w:val="00F36670"/>
    <w:rsid w:val="00F752D6"/>
    <w:rsid w:val="00F77C53"/>
    <w:rsid w:val="00F926DF"/>
    <w:rsid w:val="00FD33E6"/>
    <w:rsid w:val="00FD6581"/>
    <w:rsid w:val="00FF3E44"/>
    <w:rsid w:val="0189266B"/>
    <w:rsid w:val="0F7C5C5C"/>
    <w:rsid w:val="160C4152"/>
    <w:rsid w:val="17BA7A42"/>
    <w:rsid w:val="2051081C"/>
    <w:rsid w:val="29776A8B"/>
    <w:rsid w:val="64C4617D"/>
    <w:rsid w:val="6537088A"/>
    <w:rsid w:val="68C762E5"/>
    <w:rsid w:val="713E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992D6"/>
  <w15:docId w15:val="{AFA2EAF7-1FC9-4E75-BBC2-B0A80C60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B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916B8"/>
    <w:pPr>
      <w:shd w:val="clear" w:color="auto" w:fill="000080"/>
    </w:pPr>
    <w:rPr>
      <w:rFonts w:ascii="Times New Roman" w:hAnsi="Times New Roman" w:cs="Times New Roman"/>
      <w:kern w:val="0"/>
      <w:sz w:val="2"/>
      <w:szCs w:val="20"/>
    </w:rPr>
  </w:style>
  <w:style w:type="paragraph" w:styleId="a4">
    <w:name w:val="Balloon Text"/>
    <w:basedOn w:val="a"/>
    <w:link w:val="Char0"/>
    <w:semiHidden/>
    <w:rsid w:val="00A916B8"/>
    <w:rPr>
      <w:rFonts w:ascii="Times New Roman" w:hAnsi="Times New Roman" w:cs="Times New Roman"/>
      <w:kern w:val="0"/>
      <w:sz w:val="18"/>
      <w:szCs w:val="20"/>
    </w:rPr>
  </w:style>
  <w:style w:type="paragraph" w:styleId="a5">
    <w:name w:val="footer"/>
    <w:basedOn w:val="a"/>
    <w:link w:val="Char1"/>
    <w:semiHidden/>
    <w:rsid w:val="00A916B8"/>
    <w:pPr>
      <w:tabs>
        <w:tab w:val="center" w:pos="4153"/>
        <w:tab w:val="right" w:pos="8306"/>
      </w:tabs>
      <w:snapToGrid w:val="0"/>
      <w:jc w:val="left"/>
    </w:pPr>
    <w:rPr>
      <w:rFonts w:ascii="Times New Roman" w:hAnsi="Times New Roman" w:cs="Times New Roman"/>
      <w:kern w:val="0"/>
      <w:sz w:val="18"/>
      <w:szCs w:val="20"/>
    </w:rPr>
  </w:style>
  <w:style w:type="paragraph" w:styleId="a6">
    <w:name w:val="header"/>
    <w:basedOn w:val="a"/>
    <w:link w:val="Char2"/>
    <w:semiHidden/>
    <w:rsid w:val="00A916B8"/>
    <w:pPr>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character" w:customStyle="1" w:styleId="Char2">
    <w:name w:val="页眉 Char"/>
    <w:link w:val="a6"/>
    <w:semiHidden/>
    <w:locked/>
    <w:rsid w:val="00A916B8"/>
    <w:rPr>
      <w:sz w:val="18"/>
    </w:rPr>
  </w:style>
  <w:style w:type="character" w:customStyle="1" w:styleId="Char1">
    <w:name w:val="页脚 Char"/>
    <w:link w:val="a5"/>
    <w:semiHidden/>
    <w:locked/>
    <w:rsid w:val="00A916B8"/>
    <w:rPr>
      <w:sz w:val="18"/>
    </w:rPr>
  </w:style>
  <w:style w:type="paragraph" w:customStyle="1" w:styleId="Default">
    <w:name w:val="Default"/>
    <w:rsid w:val="00A916B8"/>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批注框文本 Char"/>
    <w:link w:val="a4"/>
    <w:semiHidden/>
    <w:locked/>
    <w:rsid w:val="00A916B8"/>
    <w:rPr>
      <w:sz w:val="18"/>
    </w:rPr>
  </w:style>
  <w:style w:type="character" w:customStyle="1" w:styleId="Char">
    <w:name w:val="文档结构图 Char"/>
    <w:link w:val="a3"/>
    <w:semiHidden/>
    <w:locked/>
    <w:rsid w:val="00A916B8"/>
    <w:rPr>
      <w:rFonts w:ascii="Times New Roman" w:hAnsi="Times New Roman"/>
      <w:sz w:val="2"/>
    </w:rPr>
  </w:style>
  <w:style w:type="table" w:styleId="a7">
    <w:name w:val="Table Grid"/>
    <w:basedOn w:val="a1"/>
    <w:locked/>
    <w:rsid w:val="00AC26C0"/>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Normal">
    <w:name w:val="TxtNormal"/>
    <w:basedOn w:val="a"/>
    <w:rsid w:val="00763A3C"/>
    <w:pPr>
      <w:widowControl/>
      <w:spacing w:before="120"/>
      <w:ind w:right="-29"/>
    </w:pPr>
    <w:rPr>
      <w:rFonts w:ascii="Arial" w:hAnsi="Arial" w:cs="Times New Roman"/>
      <w:kern w:val="0"/>
      <w:sz w:val="24"/>
      <w:szCs w:val="20"/>
      <w:lang w:val="en-GB" w:eastAsia="fr-FR"/>
    </w:rPr>
  </w:style>
  <w:style w:type="paragraph" w:styleId="a8">
    <w:name w:val="Revision"/>
    <w:hidden/>
    <w:uiPriority w:val="99"/>
    <w:semiHidden/>
    <w:rsid w:val="00554E4B"/>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0986-D97A-4ED9-9E08-30A1C041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493</Words>
  <Characters>2811</Characters>
  <Application>Microsoft Office Word</Application>
  <DocSecurity>0</DocSecurity>
  <Lines>23</Lines>
  <Paragraphs>6</Paragraphs>
  <ScaleCrop>false</ScaleCrop>
  <Company>Comac</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颁发专用条件征求意见稿</dc:title>
  <dc:creator>王敏</dc:creator>
  <cp:lastModifiedBy>邢军</cp:lastModifiedBy>
  <cp:revision>14</cp:revision>
  <cp:lastPrinted>2022-11-16T06:32:00Z</cp:lastPrinted>
  <dcterms:created xsi:type="dcterms:W3CDTF">2023-01-30T07:04:00Z</dcterms:created>
  <dcterms:modified xsi:type="dcterms:W3CDTF">2023-03-29T08:44:00Z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