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FC48" w14:textId="48BC9284" w:rsidR="00C86BC3" w:rsidRPr="008C0D74" w:rsidRDefault="00C86BC3" w:rsidP="008C388F">
      <w:pPr>
        <w:jc w:val="center"/>
        <w:outlineLvl w:val="0"/>
        <w:rPr>
          <w:rFonts w:ascii="方正小标宋_GBK" w:eastAsia="方正小标宋_GBK" w:hAnsi="Arial" w:cs="Times New Roman"/>
          <w:b/>
          <w:bCs/>
          <w:sz w:val="32"/>
          <w:szCs w:val="32"/>
        </w:rPr>
      </w:pPr>
      <w:r w:rsidRPr="008C0D74">
        <w:rPr>
          <w:rFonts w:ascii="方正小标宋_GBK" w:eastAsia="方正小标宋_GBK" w:hAnsi="Arial" w:cs="Times New Roman" w:hint="eastAsia"/>
          <w:b/>
          <w:bCs/>
          <w:sz w:val="32"/>
          <w:szCs w:val="32"/>
        </w:rPr>
        <w:t>颁发专用条件征求意见稿</w:t>
      </w:r>
    </w:p>
    <w:p w14:paraId="6BA30CB4" w14:textId="77777777" w:rsidR="00387AE2" w:rsidRPr="008C0D74" w:rsidRDefault="00387AE2" w:rsidP="008C388F">
      <w:pPr>
        <w:jc w:val="center"/>
        <w:outlineLvl w:val="0"/>
        <w:rPr>
          <w:rFonts w:ascii="方正小标宋_GBK" w:eastAsia="方正小标宋_GBK" w:hAnsi="Arial" w:cs="Times New Roman"/>
          <w:b/>
          <w:bCs/>
          <w:sz w:val="32"/>
          <w:szCs w:val="32"/>
        </w:rPr>
      </w:pPr>
    </w:p>
    <w:p w14:paraId="692B3838" w14:textId="729C9C44" w:rsidR="00C86BC3" w:rsidRPr="008C0D74" w:rsidRDefault="00C86BC3">
      <w:pPr>
        <w:jc w:val="left"/>
        <w:outlineLvl w:val="0"/>
        <w:rPr>
          <w:rFonts w:ascii="仿宋_GB2312" w:eastAsia="仿宋_GB2312" w:hAnsi="Arial" w:cs="Times New Roman"/>
          <w:sz w:val="28"/>
          <w:szCs w:val="28"/>
        </w:rPr>
      </w:pPr>
      <w:r w:rsidRPr="008C0D74">
        <w:rPr>
          <w:rFonts w:ascii="仿宋_GB2312" w:eastAsia="仿宋_GB2312" w:hAnsi="Arial" w:cs="Times New Roman" w:hint="eastAsia"/>
          <w:sz w:val="28"/>
          <w:szCs w:val="28"/>
        </w:rPr>
        <w:t>主题：</w:t>
      </w:r>
      <w:r w:rsidR="0000299C" w:rsidRPr="008C0D74">
        <w:rPr>
          <w:rFonts w:ascii="仿宋_GB2312" w:eastAsia="仿宋_GB2312" w:hAnsi="Arial" w:cs="Times New Roman" w:hint="eastAsia"/>
          <w:sz w:val="28"/>
          <w:szCs w:val="28"/>
        </w:rPr>
        <w:t>海鸥300型飞机起落架位置警告</w:t>
      </w:r>
    </w:p>
    <w:p w14:paraId="3A18ACA9" w14:textId="6DC95C62" w:rsidR="00C86BC3" w:rsidRPr="008C0D74" w:rsidRDefault="00C86BC3">
      <w:pPr>
        <w:pStyle w:val="Default"/>
        <w:jc w:val="both"/>
        <w:rPr>
          <w:rFonts w:cs="Times New Roman"/>
          <w:sz w:val="28"/>
          <w:szCs w:val="28"/>
        </w:rPr>
      </w:pPr>
      <w:r w:rsidRPr="008C0D74">
        <w:rPr>
          <w:rFonts w:hint="eastAsia"/>
          <w:sz w:val="28"/>
          <w:szCs w:val="28"/>
        </w:rPr>
        <w:t>编号：</w:t>
      </w:r>
      <w:r w:rsidR="00112257" w:rsidRPr="00112257">
        <w:rPr>
          <w:sz w:val="28"/>
          <w:szCs w:val="28"/>
        </w:rPr>
        <w:t>PSC-23-15</w:t>
      </w:r>
    </w:p>
    <w:p w14:paraId="5FA4B3F2" w14:textId="77777777" w:rsidR="00C86BC3" w:rsidRPr="008C0D74" w:rsidRDefault="00C86BC3">
      <w:pPr>
        <w:pStyle w:val="Default"/>
        <w:jc w:val="both"/>
        <w:rPr>
          <w:rFonts w:cs="Times New Roman"/>
          <w:sz w:val="28"/>
          <w:szCs w:val="28"/>
        </w:rPr>
      </w:pPr>
      <w:r w:rsidRPr="008C0D74">
        <w:rPr>
          <w:rFonts w:hint="eastAsia"/>
          <w:sz w:val="28"/>
          <w:szCs w:val="28"/>
        </w:rPr>
        <w:t>反馈意见截止期：</w:t>
      </w:r>
      <w:r w:rsidRPr="008C0D74">
        <w:rPr>
          <w:rFonts w:hint="eastAsia"/>
          <w:color w:val="auto"/>
          <w:sz w:val="28"/>
          <w:szCs w:val="28"/>
        </w:rPr>
        <w:t>自通知颁发的</w:t>
      </w:r>
      <w:r w:rsidRPr="008C0D74">
        <w:rPr>
          <w:color w:val="auto"/>
          <w:sz w:val="28"/>
          <w:szCs w:val="28"/>
        </w:rPr>
        <w:t>15</w:t>
      </w:r>
      <w:r w:rsidRPr="008C0D74">
        <w:rPr>
          <w:rFonts w:hint="eastAsia"/>
          <w:color w:val="auto"/>
          <w:sz w:val="28"/>
          <w:szCs w:val="28"/>
        </w:rPr>
        <w:t>个工作日</w:t>
      </w:r>
    </w:p>
    <w:p w14:paraId="4C9841FA" w14:textId="77777777" w:rsidR="00C86BC3" w:rsidRPr="008C0D74" w:rsidRDefault="00C86BC3">
      <w:pPr>
        <w:pStyle w:val="Default"/>
        <w:jc w:val="both"/>
        <w:rPr>
          <w:rFonts w:cs="Times New Roman"/>
          <w:sz w:val="28"/>
          <w:szCs w:val="28"/>
        </w:rPr>
      </w:pPr>
    </w:p>
    <w:p w14:paraId="0827DF5A" w14:textId="77777777" w:rsidR="00C86BC3" w:rsidRPr="008C0D74" w:rsidRDefault="00C86BC3">
      <w:pPr>
        <w:pStyle w:val="Default"/>
        <w:numPr>
          <w:ilvl w:val="0"/>
          <w:numId w:val="1"/>
        </w:numPr>
        <w:jc w:val="both"/>
        <w:outlineLvl w:val="0"/>
        <w:rPr>
          <w:rFonts w:cs="Times New Roman"/>
          <w:sz w:val="28"/>
          <w:szCs w:val="28"/>
        </w:rPr>
      </w:pPr>
      <w:r w:rsidRPr="008C0D74">
        <w:rPr>
          <w:rFonts w:hint="eastAsia"/>
          <w:sz w:val="28"/>
          <w:szCs w:val="28"/>
        </w:rPr>
        <w:t>概述</w:t>
      </w:r>
    </w:p>
    <w:p w14:paraId="7CB036C4" w14:textId="331E6075" w:rsidR="00C86BC3" w:rsidRPr="008C0D74" w:rsidRDefault="00C86BC3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本专用条件征求意见稿介绍了</w:t>
      </w:r>
      <w:r w:rsidR="0000299C" w:rsidRPr="008C0D74">
        <w:rPr>
          <w:rFonts w:ascii="仿宋_GB2312" w:eastAsia="仿宋_GB2312" w:hAnsi="Arial" w:cs="Times New Roman" w:hint="eastAsia"/>
          <w:sz w:val="28"/>
          <w:szCs w:val="28"/>
        </w:rPr>
        <w:t>海鸥300</w:t>
      </w:r>
      <w:r w:rsidR="00CE6D31" w:rsidRPr="008C0D74">
        <w:rPr>
          <w:rFonts w:ascii="仿宋_GB2312" w:eastAsia="仿宋_GB2312" w:hAnsi="Arial" w:cs="Times New Roman" w:hint="eastAsia"/>
          <w:sz w:val="28"/>
          <w:szCs w:val="28"/>
        </w:rPr>
        <w:t>型</w:t>
      </w:r>
      <w:r w:rsidR="0000299C" w:rsidRPr="008C0D74">
        <w:rPr>
          <w:rFonts w:ascii="仿宋_GB2312" w:eastAsia="仿宋_GB2312" w:hAnsi="Arial" w:cs="Times New Roman" w:hint="eastAsia"/>
          <w:sz w:val="28"/>
          <w:szCs w:val="28"/>
        </w:rPr>
        <w:t>飞机起落架位置警告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专用条件的制定背景及适用范围，并提出详细的专用条件草案。</w:t>
      </w:r>
    </w:p>
    <w:p w14:paraId="0F31EA74" w14:textId="77777777" w:rsidR="00C86BC3" w:rsidRPr="008C0D74" w:rsidRDefault="00C86BC3">
      <w:pPr>
        <w:pStyle w:val="Default"/>
        <w:numPr>
          <w:ilvl w:val="0"/>
          <w:numId w:val="1"/>
        </w:numPr>
        <w:jc w:val="both"/>
        <w:outlineLvl w:val="0"/>
        <w:rPr>
          <w:rFonts w:hAnsi="仿宋_GB2312"/>
          <w:sz w:val="28"/>
          <w:szCs w:val="28"/>
        </w:rPr>
      </w:pPr>
      <w:r w:rsidRPr="008C0D74">
        <w:rPr>
          <w:rFonts w:hAnsi="仿宋_GB2312" w:hint="eastAsia"/>
          <w:sz w:val="28"/>
          <w:szCs w:val="28"/>
        </w:rPr>
        <w:t>背景</w:t>
      </w:r>
    </w:p>
    <w:p w14:paraId="08FC1153" w14:textId="2F672918" w:rsidR="00886D5C" w:rsidRPr="008C0D74" w:rsidRDefault="00886D5C" w:rsidP="00886D5C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海鸥</w:t>
      </w:r>
      <w:r w:rsidRPr="008C0D74">
        <w:rPr>
          <w:rFonts w:ascii="Arial" w:eastAsia="仿宋_GB2312" w:hAnsi="Arial" w:cs="Times New Roman"/>
          <w:sz w:val="28"/>
          <w:szCs w:val="28"/>
        </w:rPr>
        <w:t>300</w:t>
      </w:r>
      <w:r w:rsidRPr="008C0D74">
        <w:rPr>
          <w:rFonts w:ascii="仿宋_GB2312" w:eastAsia="仿宋_GB2312" w:hAnsi="Arial" w:cs="Times New Roman" w:hint="eastAsia"/>
          <w:sz w:val="28"/>
          <w:szCs w:val="28"/>
        </w:rPr>
        <w:t>型</w:t>
      </w:r>
      <w:r w:rsidR="00554E4B" w:rsidRPr="008C0D74">
        <w:rPr>
          <w:rFonts w:ascii="仿宋_GB2312" w:eastAsia="仿宋_GB2312" w:hAnsi="Arial" w:cs="Times New Roman" w:hint="eastAsia"/>
          <w:sz w:val="28"/>
          <w:szCs w:val="28"/>
        </w:rPr>
        <w:t>飞机是轻型</w:t>
      </w:r>
      <w:r w:rsidRPr="008C0D74">
        <w:rPr>
          <w:rFonts w:ascii="仿宋_GB2312" w:eastAsia="仿宋_GB2312" w:hAnsi="Arial" w:cs="Times New Roman" w:hint="eastAsia"/>
          <w:sz w:val="28"/>
          <w:szCs w:val="28"/>
        </w:rPr>
        <w:t>水陆两栖飞机</w:t>
      </w:r>
      <w:r w:rsidR="00554E4B" w:rsidRPr="008C0D74">
        <w:rPr>
          <w:rFonts w:ascii="仿宋_GB2312" w:eastAsia="仿宋_GB2312" w:hAnsi="Arial" w:cs="Times New Roman" w:hint="eastAsia"/>
          <w:sz w:val="28"/>
          <w:szCs w:val="28"/>
        </w:rPr>
        <w:t>，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带有可收放起落架，可在水上和陆上机场着陆。在陆上起飞或着陆时，飞机依靠可收放式起落架实现其滑行起落。在水上起飞或着</w:t>
      </w:r>
      <w:r w:rsidR="00D93DCA" w:rsidRPr="008C0D74">
        <w:rPr>
          <w:rFonts w:ascii="Arial" w:eastAsia="仿宋_GB2312" w:hAnsi="Arial" w:cs="Times New Roman" w:hint="eastAsia"/>
          <w:sz w:val="28"/>
          <w:szCs w:val="28"/>
        </w:rPr>
        <w:t>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时，起落架完全收起，依靠机身下部的船底和两侧机翼下的浮筒在水面滑行</w:t>
      </w:r>
      <w:r w:rsidR="004650C7" w:rsidRPr="008C0D74">
        <w:rPr>
          <w:rFonts w:ascii="Arial" w:eastAsia="仿宋_GB2312" w:hAnsi="Arial" w:cs="Times New Roman" w:hint="eastAsia"/>
          <w:sz w:val="28"/>
          <w:szCs w:val="28"/>
        </w:rPr>
        <w:t>起降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。在陆上和水上两种不同的机场上起降，对起落架位置构型和状态的要求截然不同。</w:t>
      </w:r>
    </w:p>
    <w:p w14:paraId="493164EF" w14:textId="23A0473A" w:rsidR="00886D5C" w:rsidRPr="008C0D74" w:rsidRDefault="00886D5C" w:rsidP="00886D5C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CCAR-23-R3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第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23.729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（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f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）条款提出关于起落架收放位置警告的要求，但该条款仅适用陆上飞机，未能覆盖</w:t>
      </w:r>
      <w:r w:rsidR="00CE6D31" w:rsidRPr="008C0D74">
        <w:rPr>
          <w:rFonts w:ascii="Arial" w:eastAsia="仿宋_GB2312" w:hAnsi="Arial" w:cs="Times New Roman" w:hint="eastAsia"/>
          <w:sz w:val="28"/>
          <w:szCs w:val="28"/>
        </w:rPr>
        <w:t>水上降落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过程中起落架位置警告的要求。</w:t>
      </w:r>
    </w:p>
    <w:p w14:paraId="06F9FF1E" w14:textId="5C975D30" w:rsidR="00886D5C" w:rsidRPr="008C0D74" w:rsidRDefault="00886D5C" w:rsidP="00886D5C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对海鸥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300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型飞机，无论是在陆上或水上</w:t>
      </w:r>
      <w:r w:rsidR="00CE6D31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时，</w:t>
      </w:r>
      <w:r w:rsidR="00554E4B" w:rsidRPr="008C0D74">
        <w:rPr>
          <w:rFonts w:ascii="Arial" w:eastAsia="仿宋_GB2312" w:hAnsi="Arial" w:cs="Times New Roman" w:hint="eastAsia"/>
          <w:sz w:val="28"/>
          <w:szCs w:val="28"/>
        </w:rPr>
        <w:t>不恰当的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起落架位置将导致灾难性后果。因此，在海鸥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300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飞机上应当设置相应的起落架位置指示和警告装置，当飞机的起落架构型与起降场（</w:t>
      </w:r>
      <w:r w:rsidR="00CE6D31" w:rsidRPr="008C0D74">
        <w:rPr>
          <w:rFonts w:ascii="Arial" w:eastAsia="仿宋_GB2312" w:hAnsi="Arial" w:cs="Times New Roman" w:hint="eastAsia"/>
          <w:sz w:val="28"/>
          <w:szCs w:val="28"/>
        </w:rPr>
        <w:t>陆上、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水上）要求不协调时，</w:t>
      </w:r>
      <w:r w:rsidR="00CE6D31" w:rsidRPr="008C0D74">
        <w:rPr>
          <w:rFonts w:ascii="Arial" w:eastAsia="仿宋_GB2312" w:hAnsi="Arial" w:cs="Times New Roman" w:hint="eastAsia"/>
          <w:sz w:val="28"/>
          <w:szCs w:val="28"/>
        </w:rPr>
        <w:t>应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给飞行员明确的警告，避免灾难的发生。</w:t>
      </w:r>
    </w:p>
    <w:p w14:paraId="3FBCD0A7" w14:textId="00B22627" w:rsidR="0000299C" w:rsidRPr="008C0D74" w:rsidRDefault="00E17BC8" w:rsidP="00886D5C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lastRenderedPageBreak/>
        <w:t>基于海鸥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300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型飞机独特的设计和使用特点，有必要制定专用条件，补充飞机在陆上和水上降落过程中起落架位置警告的安全要求，以提供与适用的适航规章等效的安全水平。</w:t>
      </w:r>
    </w:p>
    <w:p w14:paraId="499D7DB2" w14:textId="77777777" w:rsidR="00C86BC3" w:rsidRPr="008C0D74" w:rsidRDefault="00C86BC3">
      <w:pPr>
        <w:pStyle w:val="Default"/>
        <w:numPr>
          <w:ilvl w:val="0"/>
          <w:numId w:val="1"/>
        </w:numPr>
        <w:jc w:val="both"/>
        <w:outlineLvl w:val="0"/>
        <w:rPr>
          <w:rFonts w:hAnsi="仿宋_GB2312"/>
          <w:sz w:val="28"/>
          <w:szCs w:val="28"/>
        </w:rPr>
      </w:pPr>
      <w:r w:rsidRPr="008C0D74">
        <w:rPr>
          <w:rFonts w:hAnsi="仿宋_GB2312" w:hint="eastAsia"/>
          <w:sz w:val="28"/>
          <w:szCs w:val="28"/>
        </w:rPr>
        <w:t>适用范围</w:t>
      </w:r>
    </w:p>
    <w:p w14:paraId="39EBE623" w14:textId="2698C3B2" w:rsidR="00C86BC3" w:rsidRPr="008C0D74" w:rsidRDefault="00C86BC3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本专用条件适用于</w:t>
      </w:r>
      <w:r w:rsidR="00886D5C" w:rsidRPr="008C0D74">
        <w:rPr>
          <w:rFonts w:ascii="仿宋_GB2312" w:eastAsia="仿宋_GB2312" w:hAnsi="Arial" w:cs="Times New Roman" w:hint="eastAsia"/>
          <w:sz w:val="28"/>
          <w:szCs w:val="28"/>
        </w:rPr>
        <w:t>海鸥300型飞机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。</w:t>
      </w:r>
    </w:p>
    <w:p w14:paraId="29E8A9B4" w14:textId="77777777" w:rsidR="00C86BC3" w:rsidRPr="008C0D74" w:rsidRDefault="00C86BC3">
      <w:pPr>
        <w:pStyle w:val="Default"/>
        <w:numPr>
          <w:ilvl w:val="0"/>
          <w:numId w:val="1"/>
        </w:numPr>
        <w:jc w:val="both"/>
        <w:outlineLvl w:val="0"/>
        <w:rPr>
          <w:rFonts w:hAnsi="仿宋_GB2312"/>
          <w:sz w:val="28"/>
          <w:szCs w:val="28"/>
        </w:rPr>
      </w:pPr>
      <w:r w:rsidRPr="008C0D74">
        <w:rPr>
          <w:rFonts w:hAnsi="仿宋_GB2312" w:hint="eastAsia"/>
          <w:sz w:val="28"/>
          <w:szCs w:val="28"/>
        </w:rPr>
        <w:t>专用条件草案</w:t>
      </w:r>
    </w:p>
    <w:p w14:paraId="5DC321D3" w14:textId="77777777" w:rsidR="001354D7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飞机必须具有适用于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着水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和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着陆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两种不同</w:t>
      </w:r>
      <w:r w:rsidR="006D3E0C" w:rsidRPr="008C0D74">
        <w:rPr>
          <w:rFonts w:ascii="Arial" w:eastAsia="仿宋_GB2312" w:hAnsi="Arial" w:cs="Times New Roman" w:hint="eastAsia"/>
          <w:sz w:val="28"/>
          <w:szCs w:val="28"/>
        </w:rPr>
        <w:t>降落方式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下的起落架位置警告要求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，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具体要求如下：</w:t>
      </w:r>
    </w:p>
    <w:p w14:paraId="21F587C7" w14:textId="77777777" w:rsidR="001354D7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(a) </w:t>
      </w:r>
      <w:r w:rsidR="001A0187" w:rsidRPr="008C0D74">
        <w:rPr>
          <w:rFonts w:ascii="Arial" w:eastAsia="仿宋_GB2312" w:hAnsi="Arial" w:cs="Times New Roman" w:hint="eastAsia"/>
          <w:b/>
          <w:sz w:val="28"/>
          <w:szCs w:val="28"/>
        </w:rPr>
        <w:t>飞机降落</w:t>
      </w:r>
      <w:r w:rsidRPr="008C0D74">
        <w:rPr>
          <w:rFonts w:ascii="Arial" w:eastAsia="仿宋_GB2312" w:hAnsi="Arial" w:cs="Times New Roman" w:hint="eastAsia"/>
          <w:b/>
          <w:sz w:val="28"/>
          <w:szCs w:val="28"/>
        </w:rPr>
        <w:t>方式选择装置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 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必须提供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降落方式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选择装置。该装置必须能够在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="000E459F" w:rsidRPr="008C0D74">
        <w:rPr>
          <w:rFonts w:ascii="Arial" w:eastAsia="仿宋_GB2312" w:hAnsi="Arial" w:cs="Times New Roman" w:hint="eastAsia"/>
          <w:sz w:val="28"/>
          <w:szCs w:val="28"/>
        </w:rPr>
        <w:t>前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自动提示飞行机组选择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方式，能方便地让驾驶员操作选择“着陆”</w:t>
      </w:r>
      <w:r w:rsidR="0052094E" w:rsidRPr="008C0D74">
        <w:rPr>
          <w:rFonts w:ascii="Arial" w:eastAsia="仿宋_GB2312" w:hAnsi="Arial" w:cs="Times New Roman" w:hint="eastAsia"/>
          <w:sz w:val="28"/>
          <w:szCs w:val="28"/>
        </w:rPr>
        <w:t>或“着水”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，</w:t>
      </w:r>
      <w:r w:rsidR="0052094E" w:rsidRPr="008C0D74">
        <w:rPr>
          <w:rFonts w:ascii="Arial" w:eastAsia="仿宋_GB2312" w:hAnsi="Arial" w:cs="Times New Roman" w:hint="eastAsia"/>
          <w:sz w:val="28"/>
          <w:szCs w:val="28"/>
        </w:rPr>
        <w:t>该装置置于“着陆”位置表示飞机将在陆上着陆，置于“着水”位置表示飞机将在水面着水。</w:t>
      </w:r>
    </w:p>
    <w:p w14:paraId="636694E3" w14:textId="77777777" w:rsidR="001354D7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(b)</w:t>
      </w:r>
      <w:r w:rsidRPr="008C0D74">
        <w:rPr>
          <w:rFonts w:ascii="Arial" w:eastAsia="仿宋_GB2312" w:hAnsi="Arial" w:cs="Times New Roman" w:hint="eastAsia"/>
          <w:b/>
          <w:sz w:val="28"/>
          <w:szCs w:val="28"/>
        </w:rPr>
        <w:t>飞机</w:t>
      </w:r>
      <w:r w:rsidR="001A0187" w:rsidRPr="008C0D74">
        <w:rPr>
          <w:rFonts w:ascii="Arial" w:eastAsia="仿宋_GB2312" w:hAnsi="Arial" w:cs="Times New Roman" w:hint="eastAsia"/>
          <w:b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b/>
          <w:sz w:val="28"/>
          <w:szCs w:val="28"/>
        </w:rPr>
        <w:t>方式指示和警告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 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必须有飞机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="00114A73" w:rsidRPr="008C0D74">
        <w:rPr>
          <w:rFonts w:ascii="Arial" w:eastAsia="仿宋_GB2312" w:hAnsi="Arial" w:cs="Times New Roman" w:hint="eastAsia"/>
          <w:sz w:val="28"/>
          <w:szCs w:val="28"/>
        </w:rPr>
        <w:t>方式指示器通知驾驶员当前飞机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已选择的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方式。当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方式指示器显示的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方式与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方式选择装置所选择的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方式不一致时，必须有警告。</w:t>
      </w:r>
    </w:p>
    <w:p w14:paraId="716AC01F" w14:textId="66A433E4" w:rsidR="001354D7" w:rsidRPr="008C0D74" w:rsidRDefault="001354D7" w:rsidP="004D76AA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(c)</w:t>
      </w:r>
      <w:r w:rsidR="00311E55" w:rsidRPr="008C0D74">
        <w:rPr>
          <w:rFonts w:ascii="Arial" w:eastAsia="仿宋_GB2312" w:hAnsi="Arial" w:cs="Times New Roman" w:hint="eastAsia"/>
          <w:b/>
          <w:sz w:val="28"/>
          <w:szCs w:val="28"/>
        </w:rPr>
        <w:t>陆上降落</w:t>
      </w:r>
      <w:r w:rsidRPr="008C0D74">
        <w:rPr>
          <w:rFonts w:ascii="Arial" w:eastAsia="仿宋_GB2312" w:hAnsi="Arial" w:cs="Times New Roman" w:hint="eastAsia"/>
          <w:b/>
          <w:sz w:val="28"/>
          <w:szCs w:val="28"/>
        </w:rPr>
        <w:t>的起落架警告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 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当飞机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方式选择装置置于“着陆”位置时，</w:t>
      </w:r>
      <w:r w:rsidR="000E459F" w:rsidRPr="008C0D74">
        <w:rPr>
          <w:rFonts w:ascii="Arial" w:eastAsia="仿宋_GB2312" w:hAnsi="Arial" w:cs="Times New Roman" w:hint="eastAsia"/>
          <w:sz w:val="28"/>
          <w:szCs w:val="28"/>
        </w:rPr>
        <w:t>起落架警告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应符合</w:t>
      </w:r>
      <w:r w:rsidR="00E90E28" w:rsidRPr="008C0D74">
        <w:rPr>
          <w:rFonts w:ascii="Arial" w:eastAsia="仿宋_GB2312" w:hAnsi="Arial" w:cs="Times New Roman" w:hint="eastAsia"/>
          <w:sz w:val="28"/>
          <w:szCs w:val="28"/>
        </w:rPr>
        <w:t>CCAR</w:t>
      </w:r>
      <w:r w:rsidR="00E90E28" w:rsidRPr="008C0D74">
        <w:rPr>
          <w:rFonts w:ascii="Arial" w:eastAsia="仿宋_GB2312" w:hAnsi="Arial" w:cs="Times New Roman"/>
          <w:sz w:val="28"/>
          <w:szCs w:val="28"/>
        </w:rPr>
        <w:t>-23-</w:t>
      </w:r>
      <w:r w:rsidR="00E90E28" w:rsidRPr="008C0D74">
        <w:rPr>
          <w:rFonts w:ascii="Arial" w:eastAsia="仿宋_GB2312" w:hAnsi="Arial" w:cs="Times New Roman" w:hint="eastAsia"/>
          <w:sz w:val="28"/>
          <w:szCs w:val="28"/>
        </w:rPr>
        <w:t>R</w:t>
      </w:r>
      <w:r w:rsidR="00E90E28" w:rsidRPr="008C0D74">
        <w:rPr>
          <w:rFonts w:ascii="Arial" w:eastAsia="仿宋_GB2312" w:hAnsi="Arial" w:cs="Times New Roman"/>
          <w:sz w:val="28"/>
          <w:szCs w:val="28"/>
        </w:rPr>
        <w:t>3</w:t>
      </w:r>
      <w:r w:rsidR="00E90E28" w:rsidRPr="008C0D74">
        <w:rPr>
          <w:rFonts w:ascii="Arial" w:eastAsia="仿宋_GB2312" w:hAnsi="Arial" w:cs="Times New Roman" w:hint="eastAsia"/>
          <w:sz w:val="28"/>
          <w:szCs w:val="28"/>
        </w:rPr>
        <w:t>第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23.729</w:t>
      </w:r>
      <w:r w:rsidR="00D46B08" w:rsidRPr="008C0D74">
        <w:rPr>
          <w:rFonts w:ascii="Arial" w:eastAsia="仿宋_GB2312" w:hAnsi="Arial" w:cs="Times New Roman" w:hint="eastAsia"/>
          <w:sz w:val="28"/>
          <w:szCs w:val="28"/>
        </w:rPr>
        <w:t>（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f</w:t>
      </w:r>
      <w:r w:rsidR="00D46B08" w:rsidRPr="008C0D74">
        <w:rPr>
          <w:rFonts w:ascii="Arial" w:eastAsia="仿宋_GB2312" w:hAnsi="Arial" w:cs="Times New Roman" w:hint="eastAsia"/>
          <w:sz w:val="28"/>
          <w:szCs w:val="28"/>
        </w:rPr>
        <w:t>）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条款要求。</w:t>
      </w:r>
    </w:p>
    <w:p w14:paraId="2759688A" w14:textId="77777777" w:rsidR="001354D7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(d)</w:t>
      </w:r>
      <w:r w:rsidR="00311E55" w:rsidRPr="008C0D74">
        <w:rPr>
          <w:rFonts w:ascii="Arial" w:eastAsia="仿宋_GB2312" w:hAnsi="Arial" w:cs="Times New Roman" w:hint="eastAsia"/>
          <w:b/>
          <w:sz w:val="28"/>
          <w:szCs w:val="28"/>
        </w:rPr>
        <w:t>水上降落</w:t>
      </w:r>
      <w:r w:rsidRPr="008C0D74">
        <w:rPr>
          <w:rFonts w:ascii="Arial" w:eastAsia="仿宋_GB2312" w:hAnsi="Arial" w:cs="Times New Roman" w:hint="eastAsia"/>
          <w:b/>
          <w:sz w:val="28"/>
          <w:szCs w:val="28"/>
        </w:rPr>
        <w:t>的起落架警告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 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当飞机</w:t>
      </w:r>
      <w:r w:rsidR="001A0187" w:rsidRPr="008C0D74">
        <w:rPr>
          <w:rFonts w:ascii="Arial" w:eastAsia="仿宋_GB2312" w:hAnsi="Arial" w:cs="Times New Roman" w:hint="eastAsia"/>
          <w:sz w:val="28"/>
          <w:szCs w:val="28"/>
        </w:rPr>
        <w:t>降落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方式选择装置置于“着</w:t>
      </w:r>
      <w:r w:rsidR="00C35E27" w:rsidRPr="008C0D74">
        <w:rPr>
          <w:rFonts w:ascii="Arial" w:eastAsia="仿宋_GB2312" w:hAnsi="Arial" w:cs="Times New Roman" w:hint="eastAsia"/>
          <w:sz w:val="28"/>
          <w:szCs w:val="28"/>
        </w:rPr>
        <w:t>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”位置时，必须提供下列音响或等效的起落架警告装置：</w:t>
      </w:r>
    </w:p>
    <w:p w14:paraId="2C0C329A" w14:textId="77777777" w:rsidR="001354D7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</w:t>
      </w:r>
      <w:r w:rsidRPr="008C0D74">
        <w:rPr>
          <w:rFonts w:ascii="Arial" w:eastAsia="仿宋_GB2312" w:hAnsi="Arial" w:cs="Times New Roman"/>
          <w:sz w:val="28"/>
          <w:szCs w:val="28"/>
        </w:rPr>
        <w:t>(1)</w:t>
      </w:r>
      <w:r w:rsidR="007979C3" w:rsidRPr="008C0D74">
        <w:rPr>
          <w:rFonts w:ascii="Arial" w:eastAsia="仿宋_GB2312" w:hAnsi="Arial" w:cs="Times New Roman"/>
          <w:sz w:val="28"/>
          <w:szCs w:val="28"/>
        </w:rPr>
        <w:t>该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装置在一个或几个油门收回超过正常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着水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进场位置而起落架未完全收上</w:t>
      </w:r>
      <w:r w:rsidR="00CD39A3" w:rsidRPr="008C0D74">
        <w:rPr>
          <w:rFonts w:ascii="Arial" w:eastAsia="仿宋_GB2312" w:hAnsi="Arial" w:cs="Times New Roman" w:hint="eastAsia"/>
          <w:sz w:val="28"/>
          <w:szCs w:val="28"/>
        </w:rPr>
        <w:t>和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锁住时，将连续发声。</w:t>
      </w:r>
      <w:proofErr w:type="gramStart"/>
      <w:r w:rsidRPr="008C0D74">
        <w:rPr>
          <w:rFonts w:ascii="Arial" w:eastAsia="仿宋_GB2312" w:hAnsi="Arial" w:cs="Times New Roman" w:hint="eastAsia"/>
          <w:sz w:val="28"/>
          <w:szCs w:val="28"/>
        </w:rPr>
        <w:t>不</w:t>
      </w:r>
      <w:proofErr w:type="gramEnd"/>
      <w:r w:rsidRPr="008C0D74">
        <w:rPr>
          <w:rFonts w:ascii="Arial" w:eastAsia="仿宋_GB2312" w:hAnsi="Arial" w:cs="Times New Roman" w:hint="eastAsia"/>
          <w:sz w:val="28"/>
          <w:szCs w:val="28"/>
        </w:rPr>
        <w:t>得用油门止动器作为音响</w:t>
      </w:r>
      <w:r w:rsidRPr="008C0D74">
        <w:rPr>
          <w:rFonts w:ascii="Arial" w:eastAsia="仿宋_GB2312" w:hAnsi="Arial" w:cs="Times New Roman" w:hint="eastAsia"/>
          <w:sz w:val="28"/>
          <w:szCs w:val="28"/>
        </w:rPr>
        <w:lastRenderedPageBreak/>
        <w:t>装置。如果本条规定的警告装置设有</w:t>
      </w:r>
      <w:proofErr w:type="gramStart"/>
      <w:r w:rsidRPr="008C0D74">
        <w:rPr>
          <w:rFonts w:ascii="Arial" w:eastAsia="仿宋_GB2312" w:hAnsi="Arial" w:cs="Times New Roman" w:hint="eastAsia"/>
          <w:sz w:val="28"/>
          <w:szCs w:val="28"/>
        </w:rPr>
        <w:t>人工停响措施</w:t>
      </w:r>
      <w:proofErr w:type="gramEnd"/>
      <w:r w:rsidRPr="008C0D74">
        <w:rPr>
          <w:rFonts w:ascii="Arial" w:eastAsia="仿宋_GB2312" w:hAnsi="Arial" w:cs="Times New Roman" w:hint="eastAsia"/>
          <w:sz w:val="28"/>
          <w:szCs w:val="28"/>
        </w:rPr>
        <w:t>，则此警告系统必须设计成：当一个或几个油门收回后警告已被暂停时，随后再减小任</w:t>
      </w:r>
      <w:proofErr w:type="gramStart"/>
      <w:r w:rsidRPr="008C0D74">
        <w:rPr>
          <w:rFonts w:ascii="Arial" w:eastAsia="仿宋_GB2312" w:hAnsi="Arial" w:cs="Times New Roman" w:hint="eastAsia"/>
          <w:sz w:val="28"/>
          <w:szCs w:val="28"/>
        </w:rPr>
        <w:t>一</w:t>
      </w:r>
      <w:proofErr w:type="gramEnd"/>
      <w:r w:rsidRPr="008C0D74">
        <w:rPr>
          <w:rFonts w:ascii="Arial" w:eastAsia="仿宋_GB2312" w:hAnsi="Arial" w:cs="Times New Roman" w:hint="eastAsia"/>
          <w:sz w:val="28"/>
          <w:szCs w:val="28"/>
        </w:rPr>
        <w:t>油门到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(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或超过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)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正常</w:t>
      </w:r>
      <w:r w:rsidR="004D76AA" w:rsidRPr="008C0D74">
        <w:rPr>
          <w:rFonts w:ascii="Arial" w:eastAsia="仿宋_GB2312" w:hAnsi="Arial" w:cs="Times New Roman" w:hint="eastAsia"/>
          <w:sz w:val="28"/>
          <w:szCs w:val="28"/>
        </w:rPr>
        <w:t>着水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进场位置，将会启动警告装置；</w:t>
      </w:r>
    </w:p>
    <w:p w14:paraId="6AFE07D3" w14:textId="4C38572D" w:rsidR="00C86BC3" w:rsidRPr="008C0D74" w:rsidRDefault="001354D7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 xml:space="preserve"> </w:t>
      </w:r>
      <w:r w:rsidRPr="008C0D74">
        <w:rPr>
          <w:rFonts w:ascii="Arial" w:eastAsia="仿宋_GB2312" w:hAnsi="Arial" w:cs="Times New Roman"/>
          <w:sz w:val="28"/>
          <w:szCs w:val="28"/>
        </w:rPr>
        <w:t>(2)</w:t>
      </w:r>
      <w:r w:rsidR="0097359E" w:rsidRPr="008C0D74">
        <w:rPr>
          <w:rFonts w:ascii="Arial" w:eastAsia="仿宋_GB2312" w:hAnsi="Arial" w:cs="Times New Roman"/>
          <w:sz w:val="28"/>
          <w:szCs w:val="28"/>
        </w:rPr>
        <w:t>在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使用正常着</w:t>
      </w:r>
      <w:r w:rsidR="0097359E" w:rsidRPr="008C0D74">
        <w:rPr>
          <w:rFonts w:ascii="Arial" w:eastAsia="仿宋_GB2312" w:hAnsi="Arial" w:cs="Times New Roman" w:hint="eastAsia"/>
          <w:sz w:val="28"/>
          <w:szCs w:val="28"/>
        </w:rPr>
        <w:t>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程序时，在襟翼放下到着</w:t>
      </w:r>
      <w:r w:rsidR="0097359E" w:rsidRPr="008C0D74">
        <w:rPr>
          <w:rFonts w:ascii="Arial" w:eastAsia="仿宋_GB2312" w:hAnsi="Arial" w:cs="Times New Roman" w:hint="eastAsia"/>
          <w:sz w:val="28"/>
          <w:szCs w:val="28"/>
        </w:rPr>
        <w:t>水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进场的襟翼位置，而起落架未完全收上</w:t>
      </w:r>
      <w:r w:rsidR="007B6587" w:rsidRPr="008C0D74">
        <w:rPr>
          <w:rFonts w:ascii="Arial" w:eastAsia="仿宋_GB2312" w:hAnsi="Arial" w:cs="Times New Roman" w:hint="eastAsia"/>
          <w:sz w:val="28"/>
          <w:szCs w:val="28"/>
        </w:rPr>
        <w:t>和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锁住时，该装置将连续发声。该装置不得设置</w:t>
      </w:r>
      <w:proofErr w:type="gramStart"/>
      <w:r w:rsidRPr="008C0D74">
        <w:rPr>
          <w:rFonts w:ascii="Arial" w:eastAsia="仿宋_GB2312" w:hAnsi="Arial" w:cs="Times New Roman" w:hint="eastAsia"/>
          <w:sz w:val="28"/>
          <w:szCs w:val="28"/>
        </w:rPr>
        <w:t>人工停响措施</w:t>
      </w:r>
      <w:proofErr w:type="gramEnd"/>
      <w:r w:rsidRPr="008C0D74">
        <w:rPr>
          <w:rFonts w:ascii="Arial" w:eastAsia="仿宋_GB2312" w:hAnsi="Arial" w:cs="Times New Roman" w:hint="eastAsia"/>
          <w:sz w:val="28"/>
          <w:szCs w:val="28"/>
        </w:rPr>
        <w:t>。襟翼位置传感器可以装在任何合适的位置。此装置可以使用</w:t>
      </w:r>
      <w:r w:rsidR="00E77CEE" w:rsidRPr="008C0D74">
        <w:rPr>
          <w:rFonts w:ascii="Arial" w:eastAsia="仿宋_GB2312" w:hAnsi="Arial" w:cs="Times New Roman" w:hint="eastAsia"/>
          <w:sz w:val="28"/>
          <w:szCs w:val="28"/>
        </w:rPr>
        <w:t>上述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(d)(1)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所规定的装置系统的任何一部分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(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包括音响警告装置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)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。</w:t>
      </w:r>
    </w:p>
    <w:p w14:paraId="2E7F073D" w14:textId="77777777" w:rsidR="00C86BC3" w:rsidRPr="008C0D74" w:rsidRDefault="00C86BC3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8C0D74">
        <w:rPr>
          <w:rFonts w:hint="eastAsia"/>
          <w:color w:val="auto"/>
          <w:sz w:val="28"/>
          <w:szCs w:val="28"/>
        </w:rPr>
        <w:t>结论</w:t>
      </w:r>
    </w:p>
    <w:p w14:paraId="5A45840D" w14:textId="663CF295" w:rsidR="00C86BC3" w:rsidRPr="008C0D74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8C0D74">
        <w:rPr>
          <w:rFonts w:ascii="Arial" w:eastAsia="仿宋_GB2312" w:hAnsi="Arial" w:cs="Times New Roman" w:hint="eastAsia"/>
          <w:sz w:val="28"/>
          <w:szCs w:val="28"/>
        </w:rPr>
        <w:t>建议颁发</w:t>
      </w:r>
      <w:r w:rsidR="001354D7" w:rsidRPr="008C0D74">
        <w:rPr>
          <w:rFonts w:ascii="仿宋_GB2312" w:eastAsia="仿宋_GB2312" w:hAnsi="Arial" w:cs="Times New Roman" w:hint="eastAsia"/>
          <w:sz w:val="28"/>
          <w:szCs w:val="28"/>
        </w:rPr>
        <w:t>海鸥300型飞机起落架位置警告</w:t>
      </w:r>
      <w:r w:rsidRPr="008C0D74">
        <w:rPr>
          <w:rFonts w:ascii="Arial" w:eastAsia="仿宋_GB2312" w:hAnsi="Arial" w:cs="Times New Roman" w:hint="eastAsia"/>
          <w:sz w:val="28"/>
          <w:szCs w:val="28"/>
        </w:rPr>
        <w:t>的专用条件。</w:t>
      </w:r>
    </w:p>
    <w:p w14:paraId="37E7DF35" w14:textId="77777777" w:rsidR="00C86BC3" w:rsidRPr="008C0D74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</w:p>
    <w:p w14:paraId="556AD117" w14:textId="77777777" w:rsidR="00C86BC3" w:rsidRPr="008C0D74" w:rsidRDefault="00C86BC3" w:rsidP="00E0331D">
      <w:pPr>
        <w:pStyle w:val="Default"/>
        <w:jc w:val="both"/>
        <w:rPr>
          <w:color w:val="auto"/>
          <w:sz w:val="28"/>
          <w:szCs w:val="28"/>
        </w:rPr>
      </w:pPr>
      <w:r w:rsidRPr="008C0D74">
        <w:rPr>
          <w:rFonts w:hint="eastAsia"/>
          <w:color w:val="auto"/>
          <w:sz w:val="28"/>
          <w:szCs w:val="28"/>
        </w:rPr>
        <w:t>附：《颁发专用条件</w:t>
      </w:r>
      <w:r w:rsidRPr="008C0D74">
        <w:rPr>
          <w:color w:val="auto"/>
          <w:sz w:val="28"/>
          <w:szCs w:val="28"/>
        </w:rPr>
        <w:t>/</w:t>
      </w:r>
      <w:r w:rsidRPr="008C0D74">
        <w:rPr>
          <w:rFonts w:hint="eastAsia"/>
          <w:color w:val="auto"/>
          <w:sz w:val="28"/>
          <w:szCs w:val="28"/>
        </w:rPr>
        <w:t>批准豁免反馈意见表》（</w:t>
      </w:r>
      <w:r w:rsidRPr="008C0D74">
        <w:rPr>
          <w:color w:val="auto"/>
          <w:sz w:val="28"/>
          <w:szCs w:val="28"/>
        </w:rPr>
        <w:t>CAAC</w:t>
      </w:r>
      <w:r w:rsidRPr="008C0D74">
        <w:rPr>
          <w:rFonts w:hint="eastAsia"/>
          <w:color w:val="auto"/>
          <w:sz w:val="28"/>
          <w:szCs w:val="28"/>
        </w:rPr>
        <w:t>表</w:t>
      </w:r>
      <w:r w:rsidRPr="008C0D74">
        <w:rPr>
          <w:color w:val="auto"/>
          <w:sz w:val="28"/>
          <w:szCs w:val="28"/>
        </w:rPr>
        <w:t>AAC-267</w:t>
      </w:r>
      <w:r w:rsidRPr="008C0D74">
        <w:rPr>
          <w:rFonts w:hint="eastAsia"/>
          <w:color w:val="auto"/>
          <w:sz w:val="28"/>
          <w:szCs w:val="28"/>
        </w:rPr>
        <w:t>）</w:t>
      </w:r>
    </w:p>
    <w:p w14:paraId="7DE43B37" w14:textId="77777777" w:rsidR="00C86BC3" w:rsidRPr="008C0D74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</w:p>
    <w:p w14:paraId="37C0A158" w14:textId="77777777" w:rsidR="00C86BC3" w:rsidRPr="008C0D74" w:rsidRDefault="00C86BC3" w:rsidP="002D0E51">
      <w:pPr>
        <w:adjustRightInd w:val="0"/>
        <w:ind w:firstLineChars="200" w:firstLine="420"/>
        <w:rPr>
          <w:rFonts w:cs="Times New Roman"/>
        </w:rPr>
      </w:pPr>
      <w:r w:rsidRPr="008C0D74">
        <w:rPr>
          <w:rFonts w:cs="Times New Roman"/>
        </w:rPr>
        <w:br w:type="page"/>
      </w:r>
    </w:p>
    <w:p w14:paraId="366862BA" w14:textId="77777777" w:rsidR="002B0651" w:rsidRPr="008C0D74" w:rsidRDefault="002B0651" w:rsidP="002B0651">
      <w:pPr>
        <w:spacing w:line="360" w:lineRule="auto"/>
        <w:ind w:firstLine="420"/>
        <w:jc w:val="center"/>
        <w:rPr>
          <w:rFonts w:ascii="黑体" w:eastAsia="黑体" w:hAnsi="黑体"/>
          <w:sz w:val="36"/>
          <w:szCs w:val="28"/>
        </w:rPr>
      </w:pPr>
      <w:r w:rsidRPr="008C0D74">
        <w:rPr>
          <w:rFonts w:ascii="黑体" w:eastAsia="黑体" w:hAnsi="黑体" w:hint="eastAsia"/>
          <w:sz w:val="36"/>
          <w:szCs w:val="28"/>
        </w:rPr>
        <w:lastRenderedPageBreak/>
        <w:t>颁发专用条件/批准豁免反馈意见表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0"/>
        <w:gridCol w:w="959"/>
        <w:gridCol w:w="139"/>
        <w:gridCol w:w="314"/>
        <w:gridCol w:w="2172"/>
        <w:gridCol w:w="3352"/>
      </w:tblGrid>
      <w:tr w:rsidR="002B0651" w:rsidRPr="008C0D74" w14:paraId="5DCFF5CD" w14:textId="77777777" w:rsidTr="00C4347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3908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E256" w14:textId="77777777" w:rsidR="002B0651" w:rsidRPr="008C0D74" w:rsidRDefault="002B0651" w:rsidP="00C434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Segoe UI Symbol" w:eastAsia="仿宋" w:hAnsi="Segoe UI Symbol" w:cs="Segoe UI Symbol"/>
                <w:sz w:val="28"/>
                <w:szCs w:val="28"/>
              </w:rPr>
              <w:t>☑</w:t>
            </w:r>
            <w:r w:rsidRPr="008C0D74">
              <w:rPr>
                <w:rFonts w:ascii="仿宋_GB2312" w:eastAsia="仿宋_GB2312" w:hint="eastAsia"/>
                <w:sz w:val="28"/>
                <w:szCs w:val="28"/>
              </w:rPr>
              <w:t>颁发专用条件</w:t>
            </w:r>
            <w:r w:rsidRPr="008C0D7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8C0D74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8C0D74">
              <w:rPr>
                <w:rFonts w:ascii="仿宋_GB2312" w:eastAsia="仿宋_GB2312" w:hint="eastAsia"/>
                <w:sz w:val="28"/>
                <w:szCs w:val="28"/>
              </w:rPr>
              <w:t>批准豁免</w:t>
            </w:r>
          </w:p>
        </w:tc>
      </w:tr>
      <w:tr w:rsidR="002B0651" w:rsidRPr="008C0D74" w14:paraId="15CC4A26" w14:textId="77777777" w:rsidTr="00C4347B"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9D48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征求意见稿编号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488" w14:textId="7D9C1247" w:rsidR="002B0651" w:rsidRPr="008C0D74" w:rsidRDefault="00112257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112257">
              <w:rPr>
                <w:rFonts w:ascii="仿宋_GB2312" w:eastAsia="仿宋_GB2312"/>
                <w:sz w:val="28"/>
                <w:szCs w:val="28"/>
              </w:rPr>
              <w:t>PSC-23-15</w:t>
            </w:r>
          </w:p>
        </w:tc>
      </w:tr>
      <w:tr w:rsidR="002B0651" w:rsidRPr="008C0D74" w14:paraId="2991AC68" w14:textId="77777777" w:rsidTr="00C4347B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4747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航空产品型号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66D4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海鸥300型飞机</w:t>
            </w:r>
          </w:p>
        </w:tc>
      </w:tr>
      <w:tr w:rsidR="002B0651" w:rsidRPr="008C0D74" w14:paraId="2E91787B" w14:textId="77777777" w:rsidTr="00C4347B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E001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相关的适航规章和/或环保要求</w:t>
            </w:r>
          </w:p>
        </w:tc>
      </w:tr>
      <w:tr w:rsidR="002B0651" w:rsidRPr="008C0D74" w14:paraId="15E97E48" w14:textId="77777777" w:rsidTr="00C4347B">
        <w:trPr>
          <w:trHeight w:val="942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D2AA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CCAR-23-R3</w:t>
            </w:r>
          </w:p>
        </w:tc>
      </w:tr>
      <w:tr w:rsidR="002B0651" w:rsidRPr="008C0D74" w14:paraId="06C958B6" w14:textId="77777777" w:rsidTr="00C4347B">
        <w:trPr>
          <w:trHeight w:val="682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3E50" w14:textId="77777777" w:rsidR="002B0651" w:rsidRPr="008C0D74" w:rsidRDefault="002B0651" w:rsidP="00C4347B">
            <w:pPr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意见或建议</w:t>
            </w:r>
          </w:p>
        </w:tc>
      </w:tr>
      <w:tr w:rsidR="002B0651" w:rsidRPr="008C0D74" w14:paraId="0776DF5F" w14:textId="77777777" w:rsidTr="00C4347B">
        <w:trPr>
          <w:trHeight w:val="5236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E2D4" w14:textId="77777777" w:rsidR="002B0651" w:rsidRPr="008C0D74" w:rsidRDefault="002B0651" w:rsidP="00C4347B">
            <w:pPr>
              <w:ind w:firstLine="420"/>
              <w:rPr>
                <w:rFonts w:ascii="仿宋_GB2312" w:eastAsia="仿宋_GB2312"/>
                <w:szCs w:val="22"/>
              </w:rPr>
            </w:pPr>
          </w:p>
        </w:tc>
      </w:tr>
      <w:tr w:rsidR="002B0651" w:rsidRPr="008C0D74" w14:paraId="69EA61FD" w14:textId="77777777" w:rsidTr="00C4347B">
        <w:trPr>
          <w:trHeight w:val="295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3F8D4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44DDB7E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 xml:space="preserve">姓名: 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8C0D74">
              <w:rPr>
                <w:rFonts w:ascii="仿宋_GB2312" w:eastAsia="仿宋_GB2312" w:hint="eastAsia"/>
                <w:sz w:val="28"/>
                <w:szCs w:val="28"/>
              </w:rPr>
              <w:t>（印刷体）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 w:rsidRPr="008C0D74">
              <w:rPr>
                <w:rFonts w:ascii="仿宋_GB2312" w:eastAsia="仿宋_GB2312" w:hint="eastAsia"/>
                <w:sz w:val="28"/>
                <w:szCs w:val="28"/>
              </w:rPr>
              <w:t xml:space="preserve"> （签名）</w:t>
            </w:r>
          </w:p>
        </w:tc>
      </w:tr>
      <w:tr w:rsidR="002B0651" w:rsidRPr="008C0D74" w14:paraId="4E132F34" w14:textId="77777777" w:rsidTr="00C4347B"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FBE126E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D5F8E7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传真：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0BA81D2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B0651" w:rsidRPr="008C0D74" w14:paraId="099554AE" w14:textId="77777777" w:rsidTr="00C4347B">
        <w:tc>
          <w:tcPr>
            <w:tcW w:w="852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06B688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通信地址：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</w:tc>
      </w:tr>
      <w:tr w:rsidR="002B0651" w:rsidRPr="008C0D74" w14:paraId="2934E703" w14:textId="77777777" w:rsidTr="00C4347B">
        <w:trPr>
          <w:trHeight w:val="666"/>
        </w:trPr>
        <w:tc>
          <w:tcPr>
            <w:tcW w:w="85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E3F73" w14:textId="77777777" w:rsidR="002B0651" w:rsidRPr="008C0D74" w:rsidRDefault="002B0651" w:rsidP="00C4347B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C0D74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 w:rsidRPr="008C0D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6D8F1576" w14:textId="77777777" w:rsidR="002B0651" w:rsidRPr="005F5C6B" w:rsidRDefault="002B0651" w:rsidP="002B0651">
      <w:pPr>
        <w:rPr>
          <w:rFonts w:cs="Times New Roman"/>
        </w:rPr>
      </w:pPr>
      <w:r w:rsidRPr="008C0D74">
        <w:rPr>
          <w:rFonts w:ascii="仿宋_GB2312" w:eastAsia="仿宋_GB2312" w:hint="eastAsia"/>
        </w:rPr>
        <w:t>CAAC 表 AAC-267（11/2012）</w:t>
      </w:r>
    </w:p>
    <w:p w14:paraId="6C75722D" w14:textId="77777777" w:rsidR="00C86BC3" w:rsidRPr="005F5C6B" w:rsidRDefault="00C86BC3" w:rsidP="002B0651">
      <w:pPr>
        <w:spacing w:line="360" w:lineRule="auto"/>
        <w:ind w:firstLine="420"/>
        <w:jc w:val="center"/>
        <w:rPr>
          <w:rFonts w:cs="Times New Roman"/>
        </w:rPr>
      </w:pPr>
    </w:p>
    <w:sectPr w:rsidR="00C86BC3" w:rsidRPr="005F5C6B" w:rsidSect="00A916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5248" w14:textId="77777777" w:rsidR="00D97C0F" w:rsidRDefault="00D97C0F" w:rsidP="00827FEC">
      <w:r>
        <w:separator/>
      </w:r>
    </w:p>
  </w:endnote>
  <w:endnote w:type="continuationSeparator" w:id="0">
    <w:p w14:paraId="3B64DC65" w14:textId="77777777" w:rsidR="00D97C0F" w:rsidRDefault="00D97C0F" w:rsidP="008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064F" w14:textId="61528BA9" w:rsidR="00C86BC3" w:rsidRPr="00F36670" w:rsidRDefault="00CB4EDA" w:rsidP="00F36670">
    <w:pPr>
      <w:pStyle w:val="a7"/>
      <w:jc w:val="center"/>
      <w:rPr>
        <w:rFonts w:ascii="仿宋_GB2312" w:eastAsia="仿宋_GB2312"/>
        <w:sz w:val="21"/>
        <w:szCs w:val="21"/>
      </w:rPr>
    </w:pPr>
    <w:r w:rsidRPr="00F36670">
      <w:rPr>
        <w:rFonts w:ascii="仿宋_GB2312" w:eastAsia="仿宋_GB2312"/>
        <w:sz w:val="21"/>
        <w:szCs w:val="21"/>
      </w:rPr>
      <w:fldChar w:fldCharType="begin"/>
    </w:r>
    <w:r w:rsidR="00C86BC3" w:rsidRPr="00F36670">
      <w:rPr>
        <w:rFonts w:ascii="仿宋_GB2312" w:eastAsia="仿宋_GB2312"/>
        <w:sz w:val="21"/>
        <w:szCs w:val="21"/>
      </w:rPr>
      <w:instrText>PAGE   \* MERGEFORMAT</w:instrText>
    </w:r>
    <w:r w:rsidRPr="00F36670">
      <w:rPr>
        <w:rFonts w:ascii="仿宋_GB2312" w:eastAsia="仿宋_GB2312"/>
        <w:sz w:val="21"/>
        <w:szCs w:val="21"/>
      </w:rPr>
      <w:fldChar w:fldCharType="separate"/>
    </w:r>
    <w:r w:rsidR="008C0D74" w:rsidRPr="008C0D74">
      <w:rPr>
        <w:rFonts w:ascii="仿宋_GB2312" w:eastAsia="仿宋_GB2312"/>
        <w:noProof/>
        <w:sz w:val="21"/>
        <w:szCs w:val="21"/>
        <w:lang w:val="zh-CN"/>
      </w:rPr>
      <w:t>3</w:t>
    </w:r>
    <w:r w:rsidRPr="00F36670">
      <w:rPr>
        <w:rFonts w:ascii="仿宋_GB2312" w:eastAsia="仿宋_GB2312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9886" w14:textId="77777777" w:rsidR="00D97C0F" w:rsidRDefault="00D97C0F" w:rsidP="00827FEC">
      <w:r>
        <w:separator/>
      </w:r>
    </w:p>
  </w:footnote>
  <w:footnote w:type="continuationSeparator" w:id="0">
    <w:p w14:paraId="0015423D" w14:textId="77777777" w:rsidR="00D97C0F" w:rsidRDefault="00D97C0F" w:rsidP="0082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510363"/>
    <w:multiLevelType w:val="singleLevel"/>
    <w:tmpl w:val="BD510363"/>
    <w:lvl w:ilvl="0">
      <w:start w:val="1"/>
      <w:numFmt w:val="low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17FA1094"/>
    <w:multiLevelType w:val="multilevel"/>
    <w:tmpl w:val="17FA1094"/>
    <w:lvl w:ilvl="0">
      <w:start w:val="1"/>
      <w:numFmt w:val="decimal"/>
      <w:lvlText w:val="%1."/>
      <w:lvlJc w:val="left"/>
      <w:pPr>
        <w:ind w:left="420" w:hanging="42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342010693">
    <w:abstractNumId w:val="1"/>
  </w:num>
  <w:num w:numId="2" w16cid:durableId="185291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99C"/>
    <w:rsid w:val="000111FA"/>
    <w:rsid w:val="0002443A"/>
    <w:rsid w:val="00037743"/>
    <w:rsid w:val="00047EF1"/>
    <w:rsid w:val="00063C1A"/>
    <w:rsid w:val="000678DA"/>
    <w:rsid w:val="000746F7"/>
    <w:rsid w:val="00085E73"/>
    <w:rsid w:val="000A0B8C"/>
    <w:rsid w:val="000C4202"/>
    <w:rsid w:val="000D42A0"/>
    <w:rsid w:val="000E2A8A"/>
    <w:rsid w:val="000E459F"/>
    <w:rsid w:val="000E5C4A"/>
    <w:rsid w:val="000F28DB"/>
    <w:rsid w:val="000F6326"/>
    <w:rsid w:val="00103CC2"/>
    <w:rsid w:val="00112257"/>
    <w:rsid w:val="00114A73"/>
    <w:rsid w:val="00123C7D"/>
    <w:rsid w:val="00126E1C"/>
    <w:rsid w:val="001354D7"/>
    <w:rsid w:val="001662DF"/>
    <w:rsid w:val="00172A27"/>
    <w:rsid w:val="001A0187"/>
    <w:rsid w:val="001D25A0"/>
    <w:rsid w:val="00261637"/>
    <w:rsid w:val="00277F4C"/>
    <w:rsid w:val="00282A2C"/>
    <w:rsid w:val="002979EB"/>
    <w:rsid w:val="002A16DD"/>
    <w:rsid w:val="002A16EC"/>
    <w:rsid w:val="002A352A"/>
    <w:rsid w:val="002B0651"/>
    <w:rsid w:val="002B242E"/>
    <w:rsid w:val="002C400B"/>
    <w:rsid w:val="002D0E51"/>
    <w:rsid w:val="002F7184"/>
    <w:rsid w:val="003117F6"/>
    <w:rsid w:val="00311E55"/>
    <w:rsid w:val="00316313"/>
    <w:rsid w:val="00317DD9"/>
    <w:rsid w:val="00351803"/>
    <w:rsid w:val="003610FA"/>
    <w:rsid w:val="00361195"/>
    <w:rsid w:val="00363455"/>
    <w:rsid w:val="00387AE2"/>
    <w:rsid w:val="00395B39"/>
    <w:rsid w:val="00395CAE"/>
    <w:rsid w:val="0039713B"/>
    <w:rsid w:val="003B0234"/>
    <w:rsid w:val="003C57AA"/>
    <w:rsid w:val="003D1C0A"/>
    <w:rsid w:val="003E5933"/>
    <w:rsid w:val="00414EF5"/>
    <w:rsid w:val="004355C9"/>
    <w:rsid w:val="00450981"/>
    <w:rsid w:val="004650C7"/>
    <w:rsid w:val="0046750C"/>
    <w:rsid w:val="00490DA5"/>
    <w:rsid w:val="004A7285"/>
    <w:rsid w:val="004C1021"/>
    <w:rsid w:val="004D206E"/>
    <w:rsid w:val="004D6B56"/>
    <w:rsid w:val="004D76AA"/>
    <w:rsid w:val="004E09CE"/>
    <w:rsid w:val="005007C5"/>
    <w:rsid w:val="0051238D"/>
    <w:rsid w:val="0052094E"/>
    <w:rsid w:val="005312B7"/>
    <w:rsid w:val="00533359"/>
    <w:rsid w:val="00534D64"/>
    <w:rsid w:val="00536FB8"/>
    <w:rsid w:val="00554E4B"/>
    <w:rsid w:val="0055591A"/>
    <w:rsid w:val="0057022C"/>
    <w:rsid w:val="005A2337"/>
    <w:rsid w:val="005C2EF2"/>
    <w:rsid w:val="005F5C6B"/>
    <w:rsid w:val="00603C99"/>
    <w:rsid w:val="006155AE"/>
    <w:rsid w:val="00660F21"/>
    <w:rsid w:val="00664A22"/>
    <w:rsid w:val="00686876"/>
    <w:rsid w:val="006C48EF"/>
    <w:rsid w:val="006D3E0C"/>
    <w:rsid w:val="007111F5"/>
    <w:rsid w:val="00731ABD"/>
    <w:rsid w:val="00763A3C"/>
    <w:rsid w:val="00793D25"/>
    <w:rsid w:val="007979C3"/>
    <w:rsid w:val="00797C76"/>
    <w:rsid w:val="007A33C9"/>
    <w:rsid w:val="007A53AA"/>
    <w:rsid w:val="007B199E"/>
    <w:rsid w:val="007B6587"/>
    <w:rsid w:val="007C4723"/>
    <w:rsid w:val="00801BF3"/>
    <w:rsid w:val="00815CD2"/>
    <w:rsid w:val="00827FEC"/>
    <w:rsid w:val="00832B72"/>
    <w:rsid w:val="0083487E"/>
    <w:rsid w:val="008461FE"/>
    <w:rsid w:val="00856CAF"/>
    <w:rsid w:val="00886D5C"/>
    <w:rsid w:val="008C0D74"/>
    <w:rsid w:val="008C388F"/>
    <w:rsid w:val="008C4CC5"/>
    <w:rsid w:val="008D4637"/>
    <w:rsid w:val="008F5600"/>
    <w:rsid w:val="00910AD6"/>
    <w:rsid w:val="00923377"/>
    <w:rsid w:val="0092484E"/>
    <w:rsid w:val="009272AD"/>
    <w:rsid w:val="00931EE9"/>
    <w:rsid w:val="009350EC"/>
    <w:rsid w:val="00963AAA"/>
    <w:rsid w:val="0097359E"/>
    <w:rsid w:val="009B34E8"/>
    <w:rsid w:val="00A01E62"/>
    <w:rsid w:val="00A10918"/>
    <w:rsid w:val="00A26563"/>
    <w:rsid w:val="00A33F3B"/>
    <w:rsid w:val="00A54690"/>
    <w:rsid w:val="00A753E1"/>
    <w:rsid w:val="00A916B8"/>
    <w:rsid w:val="00AB3DC6"/>
    <w:rsid w:val="00AB6A01"/>
    <w:rsid w:val="00AC042C"/>
    <w:rsid w:val="00AC0593"/>
    <w:rsid w:val="00AC26C0"/>
    <w:rsid w:val="00AC31A0"/>
    <w:rsid w:val="00AE512D"/>
    <w:rsid w:val="00AE5AEA"/>
    <w:rsid w:val="00AE64B2"/>
    <w:rsid w:val="00B32BBA"/>
    <w:rsid w:val="00B563B2"/>
    <w:rsid w:val="00B65377"/>
    <w:rsid w:val="00B71D04"/>
    <w:rsid w:val="00B74323"/>
    <w:rsid w:val="00B76E93"/>
    <w:rsid w:val="00BC78F2"/>
    <w:rsid w:val="00BF13A1"/>
    <w:rsid w:val="00BF43F6"/>
    <w:rsid w:val="00C00E07"/>
    <w:rsid w:val="00C0121A"/>
    <w:rsid w:val="00C23B6B"/>
    <w:rsid w:val="00C35E27"/>
    <w:rsid w:val="00C50E6F"/>
    <w:rsid w:val="00C529B9"/>
    <w:rsid w:val="00C63E43"/>
    <w:rsid w:val="00C6454E"/>
    <w:rsid w:val="00C716E2"/>
    <w:rsid w:val="00C86BC3"/>
    <w:rsid w:val="00C92117"/>
    <w:rsid w:val="00CA6657"/>
    <w:rsid w:val="00CB4EDA"/>
    <w:rsid w:val="00CB7C2A"/>
    <w:rsid w:val="00CD39A3"/>
    <w:rsid w:val="00CE6D31"/>
    <w:rsid w:val="00CF003B"/>
    <w:rsid w:val="00CF2309"/>
    <w:rsid w:val="00D00395"/>
    <w:rsid w:val="00D46B08"/>
    <w:rsid w:val="00D66F97"/>
    <w:rsid w:val="00D677AE"/>
    <w:rsid w:val="00D8478B"/>
    <w:rsid w:val="00D90947"/>
    <w:rsid w:val="00D93DCA"/>
    <w:rsid w:val="00D96FA0"/>
    <w:rsid w:val="00D979C9"/>
    <w:rsid w:val="00D97C0F"/>
    <w:rsid w:val="00DA4169"/>
    <w:rsid w:val="00DA49C0"/>
    <w:rsid w:val="00DC3DCB"/>
    <w:rsid w:val="00DC7FD9"/>
    <w:rsid w:val="00DD27EC"/>
    <w:rsid w:val="00DD49E0"/>
    <w:rsid w:val="00DE6D50"/>
    <w:rsid w:val="00DE6E16"/>
    <w:rsid w:val="00E0331D"/>
    <w:rsid w:val="00E17BC8"/>
    <w:rsid w:val="00E21B3A"/>
    <w:rsid w:val="00E24435"/>
    <w:rsid w:val="00E320F8"/>
    <w:rsid w:val="00E62AB1"/>
    <w:rsid w:val="00E63E71"/>
    <w:rsid w:val="00E77CEE"/>
    <w:rsid w:val="00E90E28"/>
    <w:rsid w:val="00EA2B35"/>
    <w:rsid w:val="00EB1D66"/>
    <w:rsid w:val="00EB3501"/>
    <w:rsid w:val="00EB388A"/>
    <w:rsid w:val="00EC6710"/>
    <w:rsid w:val="00ED370C"/>
    <w:rsid w:val="00EF31B0"/>
    <w:rsid w:val="00F07456"/>
    <w:rsid w:val="00F13A9C"/>
    <w:rsid w:val="00F23C03"/>
    <w:rsid w:val="00F36670"/>
    <w:rsid w:val="00F752D6"/>
    <w:rsid w:val="00F77C53"/>
    <w:rsid w:val="00F926DF"/>
    <w:rsid w:val="00FD33E6"/>
    <w:rsid w:val="00FD6581"/>
    <w:rsid w:val="00FF3E44"/>
    <w:rsid w:val="0189266B"/>
    <w:rsid w:val="0F7C5C5C"/>
    <w:rsid w:val="160C4152"/>
    <w:rsid w:val="17BA7A42"/>
    <w:rsid w:val="2051081C"/>
    <w:rsid w:val="29776A8B"/>
    <w:rsid w:val="64C4617D"/>
    <w:rsid w:val="6537088A"/>
    <w:rsid w:val="68C762E5"/>
    <w:rsid w:val="713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992D6"/>
  <w15:docId w15:val="{AFA2EAF7-1FC9-4E75-BBC2-B0A80C6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6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916B8"/>
    <w:pPr>
      <w:shd w:val="clear" w:color="auto" w:fill="000080"/>
    </w:pPr>
    <w:rPr>
      <w:rFonts w:ascii="Times New Roman" w:hAnsi="Times New Roman" w:cs="Times New Roman"/>
      <w:kern w:val="0"/>
      <w:sz w:val="2"/>
      <w:szCs w:val="20"/>
    </w:rPr>
  </w:style>
  <w:style w:type="paragraph" w:styleId="a5">
    <w:name w:val="Balloon Text"/>
    <w:basedOn w:val="a"/>
    <w:link w:val="a6"/>
    <w:semiHidden/>
    <w:rsid w:val="00A916B8"/>
    <w:rPr>
      <w:rFonts w:ascii="Times New Roman" w:hAnsi="Times New Roman" w:cs="Times New Roman"/>
      <w:kern w:val="0"/>
      <w:sz w:val="18"/>
      <w:szCs w:val="20"/>
    </w:rPr>
  </w:style>
  <w:style w:type="paragraph" w:styleId="a7">
    <w:name w:val="footer"/>
    <w:basedOn w:val="a"/>
    <w:link w:val="a8"/>
    <w:semiHidden/>
    <w:rsid w:val="00A916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a9">
    <w:name w:val="header"/>
    <w:basedOn w:val="a"/>
    <w:link w:val="aa"/>
    <w:semiHidden/>
    <w:rsid w:val="00A9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aa">
    <w:name w:val="页眉 字符"/>
    <w:link w:val="a9"/>
    <w:semiHidden/>
    <w:locked/>
    <w:rsid w:val="00A916B8"/>
    <w:rPr>
      <w:sz w:val="18"/>
    </w:rPr>
  </w:style>
  <w:style w:type="character" w:customStyle="1" w:styleId="a8">
    <w:name w:val="页脚 字符"/>
    <w:link w:val="a7"/>
    <w:semiHidden/>
    <w:locked/>
    <w:rsid w:val="00A916B8"/>
    <w:rPr>
      <w:sz w:val="18"/>
    </w:rPr>
  </w:style>
  <w:style w:type="paragraph" w:customStyle="1" w:styleId="Default">
    <w:name w:val="Default"/>
    <w:rsid w:val="00A916B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批注框文本 字符"/>
    <w:link w:val="a5"/>
    <w:semiHidden/>
    <w:locked/>
    <w:rsid w:val="00A916B8"/>
    <w:rPr>
      <w:sz w:val="18"/>
    </w:rPr>
  </w:style>
  <w:style w:type="character" w:customStyle="1" w:styleId="a4">
    <w:name w:val="文档结构图 字符"/>
    <w:link w:val="a3"/>
    <w:semiHidden/>
    <w:locked/>
    <w:rsid w:val="00A916B8"/>
    <w:rPr>
      <w:rFonts w:ascii="Times New Roman" w:hAnsi="Times New Roman"/>
      <w:sz w:val="2"/>
    </w:rPr>
  </w:style>
  <w:style w:type="table" w:styleId="ab">
    <w:name w:val="Table Grid"/>
    <w:basedOn w:val="a1"/>
    <w:locked/>
    <w:rsid w:val="00AC26C0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xtNormal">
    <w:name w:val="TxtNormal"/>
    <w:basedOn w:val="a"/>
    <w:rsid w:val="00763A3C"/>
    <w:pPr>
      <w:widowControl/>
      <w:spacing w:before="120"/>
      <w:ind w:right="-29"/>
    </w:pPr>
    <w:rPr>
      <w:rFonts w:ascii="Arial" w:hAnsi="Arial" w:cs="Times New Roman"/>
      <w:kern w:val="0"/>
      <w:sz w:val="24"/>
      <w:szCs w:val="20"/>
      <w:lang w:val="en-GB" w:eastAsia="fr-FR"/>
    </w:rPr>
  </w:style>
  <w:style w:type="paragraph" w:styleId="ac">
    <w:name w:val="Revision"/>
    <w:hidden/>
    <w:uiPriority w:val="99"/>
    <w:semiHidden/>
    <w:rsid w:val="00554E4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F34B-3F65-4DFE-8612-1A1B122D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240</Words>
  <Characters>1371</Characters>
  <Application>Microsoft Office Word</Application>
  <DocSecurity>0</DocSecurity>
  <Lines>11</Lines>
  <Paragraphs>3</Paragraphs>
  <ScaleCrop>false</ScaleCrop>
  <Company>Comac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颁发专用条件征求意见稿</dc:title>
  <dc:creator>王敏</dc:creator>
  <cp:lastModifiedBy>兰佳茵</cp:lastModifiedBy>
  <cp:revision>8</cp:revision>
  <cp:lastPrinted>2022-11-16T06:32:00Z</cp:lastPrinted>
  <dcterms:created xsi:type="dcterms:W3CDTF">2022-11-17T05:48:00Z</dcterms:created>
  <dcterms:modified xsi:type="dcterms:W3CDTF">2022-11-17T06:35:00Z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