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等线" w:eastAsia="方正小标宋简体" w:cs="Times New Roman"/>
          <w:b/>
          <w:bCs/>
          <w:sz w:val="44"/>
          <w:szCs w:val="44"/>
        </w:rPr>
      </w:pPr>
      <w:bookmarkStart w:id="0" w:name="OLE_LINK4"/>
      <w:bookmarkStart w:id="1" w:name="OLE_LINK5"/>
      <w:r>
        <w:rPr>
          <w:rFonts w:hint="eastAsia" w:ascii="方正小标宋简体" w:hAnsi="等线" w:eastAsia="方正小标宋简体" w:cs="Times New Roman"/>
          <w:b/>
          <w:bCs/>
          <w:sz w:val="44"/>
          <w:szCs w:val="44"/>
        </w:rPr>
        <w:t>中小机场空管差异化精准</w:t>
      </w:r>
      <w:bookmarkStart w:id="8" w:name="_GoBack"/>
      <w:bookmarkEnd w:id="8"/>
      <w:r>
        <w:rPr>
          <w:rFonts w:hint="eastAsia" w:ascii="方正小标宋简体" w:hAnsi="等线" w:eastAsia="方正小标宋简体" w:cs="Times New Roman"/>
          <w:b/>
          <w:bCs/>
          <w:sz w:val="44"/>
          <w:szCs w:val="44"/>
        </w:rPr>
        <w:t>监管实施办法</w:t>
      </w:r>
    </w:p>
    <w:p>
      <w:pPr>
        <w:jc w:val="center"/>
        <w:rPr>
          <w:rFonts w:ascii="华文楷体" w:hAnsi="华文楷体" w:eastAsia="华文楷体" w:cs="华文楷体"/>
          <w:b/>
          <w:bCs/>
          <w:sz w:val="36"/>
          <w:szCs w:val="36"/>
        </w:rPr>
      </w:pPr>
      <w:r>
        <w:rPr>
          <w:rFonts w:hint="eastAsia" w:ascii="华文楷体" w:hAnsi="华文楷体" w:eastAsia="华文楷体" w:cs="华文楷体"/>
          <w:b/>
          <w:bCs/>
          <w:sz w:val="36"/>
          <w:szCs w:val="36"/>
        </w:rPr>
        <w:t>（征求意见稿）</w:t>
      </w:r>
    </w:p>
    <w:bookmarkEnd w:id="0"/>
    <w:bookmarkEnd w:id="1"/>
    <w:p>
      <w:pPr>
        <w:jc w:val="center"/>
        <w:rPr>
          <w:rFonts w:ascii="方正小标宋简体" w:hAnsi="等线" w:eastAsia="方正小标宋简体" w:cs="Times New Roman"/>
          <w:sz w:val="40"/>
          <w:szCs w:val="44"/>
        </w:rPr>
      </w:pPr>
    </w:p>
    <w:p>
      <w:pPr>
        <w:numPr>
          <w:ilvl w:val="0"/>
          <w:numId w:val="1"/>
        </w:numPr>
        <w:spacing w:after="160" w:line="560" w:lineRule="exact"/>
        <w:jc w:val="center"/>
        <w:rPr>
          <w:rFonts w:ascii="黑体" w:hAnsi="黑体" w:eastAsia="黑体" w:cs="黑体"/>
          <w:sz w:val="32"/>
          <w:szCs w:val="32"/>
        </w:rPr>
      </w:pPr>
      <w:r>
        <w:rPr>
          <w:rFonts w:hint="eastAsia" w:ascii="黑体" w:hAnsi="黑体" w:eastAsia="黑体" w:cs="黑体"/>
          <w:b/>
          <w:bCs/>
          <w:sz w:val="32"/>
          <w:szCs w:val="32"/>
        </w:rPr>
        <w:t>总则</w:t>
      </w:r>
    </w:p>
    <w:p>
      <w:pPr>
        <w:spacing w:after="160" w:line="560" w:lineRule="exact"/>
        <w:rPr>
          <w:rFonts w:ascii="仿宋_GB2312" w:hAnsi="仿宋_GB2312" w:eastAsia="仿宋_GB2312" w:cs="仿宋_GB2312"/>
          <w:sz w:val="32"/>
          <w:szCs w:val="32"/>
        </w:rPr>
      </w:pPr>
      <w:r>
        <w:rPr>
          <w:rFonts w:hint="eastAsia" w:ascii="黑体" w:hAnsi="宋体" w:eastAsia="黑体" w:cs="黑体"/>
          <w:b/>
          <w:bCs/>
          <w:sz w:val="32"/>
          <w:szCs w:val="32"/>
        </w:rPr>
        <w:t xml:space="preserve">    第一条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32"/>
          <w:szCs w:val="32"/>
        </w:rPr>
        <w:t>为主动适应行业发展的新形势、新变化，加快推动民航空管安全领域体制机制改革及监管模式转型，加快构建国家治理体系和治理能力现代化建设，</w:t>
      </w:r>
      <w:r>
        <w:rPr>
          <w:rFonts w:hint="eastAsia" w:ascii="仿宋_GB2312" w:hAnsi="仿宋_GB2312" w:eastAsia="仿宋_GB2312" w:cs="仿宋_GB2312"/>
          <w:sz w:val="32"/>
          <w:szCs w:val="32"/>
        </w:rPr>
        <w:t>根据《中华人民共和国安全生产法》《民用航空行政检查工作规则》《民航局关于推进精准监管工作的意见》等规定，制定本办法。</w:t>
      </w:r>
    </w:p>
    <w:p>
      <w:pPr>
        <w:spacing w:after="160" w:line="560" w:lineRule="exact"/>
        <w:ind w:firstLine="642" w:firstLineChars="200"/>
        <w:rPr>
          <w:rFonts w:ascii="仿宋_GB2312" w:hAnsi="仿宋_GB2312" w:eastAsia="仿宋_GB2312" w:cs="仿宋_GB2312"/>
          <w:sz w:val="32"/>
          <w:szCs w:val="36"/>
        </w:rPr>
      </w:pPr>
      <w:r>
        <w:rPr>
          <w:rFonts w:hint="eastAsia" w:ascii="黑体" w:hAnsi="黑体" w:eastAsia="黑体" w:cs="黑体"/>
          <w:b/>
          <w:bCs/>
          <w:sz w:val="32"/>
          <w:szCs w:val="36"/>
        </w:rPr>
        <w:t>第二条</w:t>
      </w:r>
      <w:r>
        <w:rPr>
          <w:rFonts w:hint="eastAsia" w:ascii="黑体" w:hAnsi="黑体" w:eastAsia="黑体" w:cs="黑体"/>
          <w:sz w:val="32"/>
          <w:szCs w:val="36"/>
        </w:rPr>
        <w:t xml:space="preserve">  </w:t>
      </w:r>
      <w:r>
        <w:rPr>
          <w:rFonts w:hint="eastAsia" w:ascii="仿宋_GB2312" w:hAnsi="仿宋_GB2312" w:eastAsia="仿宋_GB2312" w:cs="仿宋_GB2312"/>
          <w:sz w:val="32"/>
          <w:szCs w:val="36"/>
        </w:rPr>
        <w:t>本办法中的差异化精准监管是指基于年飞行架次、安全管理、运行特点、保障方式、业务结构等方面的差异，按照“基于安全态势分级”的原则对全国中小机场空管运行单位（以下简称中小机场）安全保障能力进行综合评估，</w:t>
      </w:r>
      <w:r>
        <w:rPr>
          <w:rFonts w:hint="eastAsia" w:ascii="仿宋_GB2312" w:hAnsi="仿宋_GB2312" w:eastAsia="仿宋_GB2312" w:cs="仿宋_GB2312"/>
          <w:sz w:val="32"/>
          <w:szCs w:val="32"/>
        </w:rPr>
        <w:t>通过安全绩效监视与测量、数据分析、系统评价等辅助手段进行分级管理，并</w:t>
      </w:r>
      <w:r>
        <w:rPr>
          <w:rFonts w:hint="eastAsia" w:ascii="仿宋_GB2312" w:hAnsi="仿宋_GB2312" w:eastAsia="仿宋_GB2312" w:cs="仿宋_GB2312"/>
          <w:sz w:val="32"/>
          <w:szCs w:val="36"/>
        </w:rPr>
        <w:t>相应调整监管模式和监管指标侧重点。</w:t>
      </w:r>
    </w:p>
    <w:p>
      <w:pPr>
        <w:spacing w:after="160" w:line="560" w:lineRule="exact"/>
        <w:ind w:firstLine="642" w:firstLineChars="200"/>
        <w:rPr>
          <w:rFonts w:ascii="仿宋_GB2312" w:hAnsi="仿宋_GB2312" w:eastAsia="仿宋_GB2312" w:cs="仿宋_GB2312"/>
          <w:sz w:val="32"/>
          <w:szCs w:val="36"/>
        </w:rPr>
      </w:pPr>
      <w:r>
        <w:rPr>
          <w:rFonts w:hint="eastAsia" w:ascii="黑体" w:hAnsi="黑体" w:eastAsia="黑体" w:cs="黑体"/>
          <w:b/>
          <w:bCs/>
          <w:sz w:val="32"/>
          <w:szCs w:val="36"/>
        </w:rPr>
        <w:t xml:space="preserve">第三条 </w:t>
      </w:r>
      <w:r>
        <w:rPr>
          <w:rFonts w:hint="eastAsia" w:ascii="黑体" w:hAnsi="黑体" w:eastAsia="黑体" w:cs="黑体"/>
          <w:sz w:val="32"/>
          <w:szCs w:val="36"/>
        </w:rPr>
        <w:t xml:space="preserve"> </w:t>
      </w:r>
      <w:r>
        <w:rPr>
          <w:rFonts w:hint="eastAsia" w:ascii="仿宋_GB2312" w:hAnsi="仿宋_GB2312" w:eastAsia="仿宋_GB2312" w:cs="仿宋_GB2312"/>
          <w:sz w:val="32"/>
          <w:szCs w:val="36"/>
        </w:rPr>
        <w:t>本办法适用于对</w:t>
      </w:r>
      <w:r>
        <w:rPr>
          <w:rFonts w:hint="eastAsia" w:ascii="仿宋_GB2312" w:hAnsi="仿宋_GB2312" w:eastAsia="仿宋_GB2312" w:cs="仿宋_GB2312"/>
          <w:sz w:val="32"/>
          <w:szCs w:val="32"/>
        </w:rPr>
        <w:t>空管系统之外的其他民用运输机场空管服务单位</w:t>
      </w:r>
      <w:r>
        <w:rPr>
          <w:rFonts w:hint="eastAsia" w:ascii="仿宋_GB2312" w:hAnsi="仿宋_GB2312" w:eastAsia="仿宋_GB2312" w:cs="仿宋_GB2312"/>
          <w:sz w:val="32"/>
          <w:szCs w:val="36"/>
        </w:rPr>
        <w:t>开展的差异化精准监管工作，仅涉及机坪管制业务的机场管理机构除外。</w:t>
      </w:r>
    </w:p>
    <w:p>
      <w:pPr>
        <w:spacing w:after="160" w:line="560" w:lineRule="exact"/>
        <w:ind w:firstLine="642" w:firstLineChars="200"/>
        <w:rPr>
          <w:rFonts w:ascii="黑体" w:hAnsi="黑体" w:eastAsia="黑体" w:cs="黑体"/>
          <w:sz w:val="32"/>
          <w:szCs w:val="36"/>
        </w:rPr>
      </w:pPr>
      <w:r>
        <w:rPr>
          <w:rFonts w:hint="eastAsia" w:ascii="黑体" w:hAnsi="黑体" w:eastAsia="黑体" w:cs="黑体"/>
          <w:b/>
          <w:bCs/>
          <w:sz w:val="32"/>
          <w:szCs w:val="36"/>
        </w:rPr>
        <w:t>第四条</w:t>
      </w:r>
      <w:r>
        <w:rPr>
          <w:rFonts w:hint="eastAsia" w:ascii="黑体" w:hAnsi="黑体" w:eastAsia="黑体" w:cs="黑体"/>
          <w:sz w:val="32"/>
          <w:szCs w:val="36"/>
        </w:rPr>
        <w:t xml:space="preserve">  </w:t>
      </w:r>
      <w:r>
        <w:rPr>
          <w:rFonts w:hint="eastAsia" w:ascii="仿宋_GB2312" w:hAnsi="仿宋_GB2312" w:eastAsia="仿宋_GB2312" w:cs="仿宋_GB2312"/>
          <w:sz w:val="32"/>
          <w:szCs w:val="36"/>
        </w:rPr>
        <w:t>对中小机场监管采</w:t>
      </w:r>
      <w:r>
        <w:rPr>
          <w:rFonts w:hint="eastAsia" w:ascii="仿宋_GB2312" w:hAnsi="仿宋_GB2312" w:eastAsia="仿宋_GB2312" w:cs="仿宋_GB2312"/>
          <w:sz w:val="32"/>
          <w:szCs w:val="32"/>
        </w:rPr>
        <w:t>取“盯组织盯系统”结合“盯人盯事”的综合监管模式，以帮扶为原则健全安全管理体系，识别组织和系统缺陷，精准监控、督促改进，完善制度、落实安全责任、排查安全风险，推动企业安全主体责任。</w:t>
      </w:r>
    </w:p>
    <w:p>
      <w:pPr>
        <w:spacing w:after="160" w:line="560" w:lineRule="exact"/>
        <w:ind w:firstLine="642" w:firstLineChars="200"/>
        <w:rPr>
          <w:rFonts w:ascii="仿宋_GB2312" w:hAnsi="仿宋_GB2312" w:eastAsia="仿宋_GB2312" w:cs="仿宋_GB2312"/>
          <w:sz w:val="32"/>
          <w:szCs w:val="36"/>
        </w:rPr>
      </w:pPr>
      <w:r>
        <w:rPr>
          <w:rFonts w:hint="eastAsia" w:ascii="黑体" w:hAnsi="黑体" w:eastAsia="黑体" w:cs="黑体"/>
          <w:b/>
          <w:bCs/>
          <w:sz w:val="32"/>
          <w:szCs w:val="36"/>
        </w:rPr>
        <w:t>第五条</w:t>
      </w:r>
      <w:r>
        <w:rPr>
          <w:rFonts w:hint="eastAsia" w:ascii="仿宋_GB2312" w:hAnsi="仿宋_GB2312" w:eastAsia="仿宋_GB2312" w:cs="仿宋_GB2312"/>
          <w:sz w:val="32"/>
          <w:szCs w:val="36"/>
        </w:rPr>
        <w:t xml:space="preserve">  差异化精准监管应当遵循客观公正、量化评定，实事求是、动态管理的原则。对于差异化精准监管带来的监管工作量变化和资源调配需求，由各地区管理局依法依规负责辖区内各监管局的监管资源调配，民航局依法依规负责各地区管理局的监管资源调配。</w:t>
      </w:r>
    </w:p>
    <w:p>
      <w:pPr>
        <w:spacing w:after="160" w:line="560" w:lineRule="exact"/>
        <w:ind w:firstLine="640" w:firstLineChars="200"/>
        <w:rPr>
          <w:rFonts w:ascii="仿宋_GB2312" w:hAnsi="仿宋_GB2312" w:eastAsia="仿宋_GB2312" w:cs="仿宋_GB2312"/>
          <w:sz w:val="32"/>
          <w:szCs w:val="36"/>
        </w:rPr>
      </w:pPr>
    </w:p>
    <w:p>
      <w:pPr>
        <w:numPr>
          <w:ilvl w:val="0"/>
          <w:numId w:val="1"/>
        </w:numPr>
        <w:spacing w:after="160" w:line="560" w:lineRule="exact"/>
        <w:jc w:val="center"/>
        <w:rPr>
          <w:rFonts w:ascii="黑体" w:hAnsi="黑体" w:eastAsia="黑体" w:cs="黑体"/>
          <w:b/>
          <w:bCs/>
          <w:sz w:val="32"/>
          <w:szCs w:val="32"/>
        </w:rPr>
      </w:pPr>
      <w:r>
        <w:rPr>
          <w:rFonts w:hint="eastAsia" w:ascii="黑体" w:hAnsi="黑体" w:eastAsia="黑体" w:cs="黑体"/>
          <w:b/>
          <w:bCs/>
          <w:sz w:val="32"/>
          <w:szCs w:val="32"/>
        </w:rPr>
        <w:t>分级及标准</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 xml:space="preserve">第六条  </w:t>
      </w:r>
      <w:r>
        <w:rPr>
          <w:rFonts w:hint="eastAsia" w:ascii="仿宋_GB2312" w:hAnsi="仿宋_GB2312" w:eastAsia="仿宋_GB2312" w:cs="仿宋_GB2312"/>
          <w:sz w:val="32"/>
          <w:szCs w:val="32"/>
        </w:rPr>
        <w:t>基于安全保障能力的综合评估结果，依据近期安全态势及运行安全风险高低，将中小机场划分为绿区、黄区、红区三个监管等级。</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绿区是指其风险等级较低，处于可接受状态，运行良好，可保持常态化或自主运行。</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黄区是指其风险等级较高但处于可控范围，需要适度加强监管。</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红区是指风险等级高，需要特殊或重点监管。</w:t>
      </w:r>
    </w:p>
    <w:p>
      <w:pPr>
        <w:spacing w:after="160" w:line="560" w:lineRule="exact"/>
        <w:ind w:firstLine="642" w:firstLineChars="200"/>
        <w:jc w:val="both"/>
        <w:rPr>
          <w:rFonts w:ascii="仿宋_GB2312" w:hAnsi="仿宋_GB2312" w:eastAsia="仿宋_GB2312" w:cs="仿宋_GB2312"/>
          <w:sz w:val="32"/>
          <w:szCs w:val="32"/>
        </w:rPr>
      </w:pPr>
      <w:r>
        <w:rPr>
          <w:rFonts w:hint="eastAsia" w:ascii="黑体" w:hAnsi="黑体" w:eastAsia="黑体" w:cs="黑体"/>
          <w:b/>
          <w:bCs/>
          <w:sz w:val="32"/>
          <w:szCs w:val="32"/>
        </w:rPr>
        <w:t>第七条</w:t>
      </w:r>
      <w:r>
        <w:rPr>
          <w:rFonts w:hint="eastAsia" w:ascii="仿宋_GB2312" w:hAnsi="仿宋_GB2312" w:eastAsia="仿宋_GB2312" w:cs="仿宋_GB2312"/>
          <w:sz w:val="32"/>
          <w:szCs w:val="32"/>
        </w:rPr>
        <w:t xml:space="preserve">  </w:t>
      </w:r>
      <w:bookmarkStart w:id="2" w:name="OLE_LINK2"/>
      <w:bookmarkStart w:id="3" w:name="OLE_LINK3"/>
      <w:r>
        <w:rPr>
          <w:rFonts w:hint="eastAsia" w:ascii="仿宋_GB2312" w:hAnsi="仿宋_GB2312" w:eastAsia="仿宋_GB2312" w:cs="仿宋_GB2312"/>
          <w:sz w:val="32"/>
          <w:szCs w:val="32"/>
        </w:rPr>
        <w:t>民航局每三年组织一次对全国中小机场空管安全保障能力的填报、评估、统计工作，形成初始分级名单</w:t>
      </w:r>
      <w:bookmarkEnd w:id="2"/>
      <w:bookmarkEnd w:id="3"/>
      <w:r>
        <w:rPr>
          <w:rFonts w:hint="eastAsia" w:ascii="仿宋_GB2312" w:hAnsi="仿宋_GB2312" w:eastAsia="仿宋_GB2312" w:cs="仿宋_GB2312"/>
          <w:sz w:val="32"/>
          <w:szCs w:val="32"/>
        </w:rPr>
        <w:t>和相关评估报告；地区管理局负责根据近期所辖中小机场运行表现及检查情况对初始分级名单进行调整，形成分级名单。该分级名单有效周期为一年，下一年按照分级标准重新调整。</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第八条</w:t>
      </w:r>
      <w:r>
        <w:rPr>
          <w:rFonts w:hint="eastAsia" w:ascii="仿宋_GB2312" w:hAnsi="仿宋_GB2312" w:eastAsia="仿宋_GB2312" w:cs="仿宋_GB2312"/>
          <w:sz w:val="32"/>
          <w:szCs w:val="32"/>
        </w:rPr>
        <w:t xml:space="preserve">  中小机场发生以下情形时，各地区管理局需在初始分级名单或分级名单基础上，按以下标准进行调整：</w:t>
      </w:r>
    </w:p>
    <w:p>
      <w:pPr>
        <w:spacing w:after="160"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（一）发生以下情形之一需由绿区或黄区调整到红区</w:t>
      </w:r>
      <w:r>
        <w:rPr>
          <w:rFonts w:hint="eastAsia" w:ascii="仿宋_GB2312" w:hAnsi="仿宋_GB2312" w:eastAsia="仿宋_GB2312" w:cs="仿宋_GB2312"/>
          <w:b/>
          <w:bCs/>
          <w:sz w:val="32"/>
          <w:szCs w:val="32"/>
        </w:rPr>
        <w:t>：</w:t>
      </w:r>
    </w:p>
    <w:p>
      <w:pPr>
        <w:numPr>
          <w:ilvl w:val="0"/>
          <w:numId w:val="2"/>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根据《民航行业信用管理办法》确定严重失信行为的，或经管理局认定诚信度有严重问题的。</w:t>
      </w:r>
    </w:p>
    <w:p>
      <w:pPr>
        <w:numPr>
          <w:ilvl w:val="0"/>
          <w:numId w:val="2"/>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最近1年发生空管责任原因一般征候及以上事件1起（含）以上。</w:t>
      </w:r>
    </w:p>
    <w:p>
      <w:pPr>
        <w:numPr>
          <w:ilvl w:val="0"/>
          <w:numId w:val="2"/>
        </w:numPr>
        <w:spacing w:after="160"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三年内累计发生2起一般事件（含）及以上事件</w:t>
      </w:r>
      <w:r>
        <w:rPr>
          <w:rFonts w:hint="eastAsia" w:ascii="仿宋_GB2312" w:hAnsi="仿宋_GB2312" w:eastAsia="仿宋_GB2312" w:cs="仿宋_GB2312"/>
          <w:sz w:val="32"/>
          <w:szCs w:val="32"/>
          <w:lang w:eastAsia="zh-CN"/>
        </w:rPr>
        <w:t>。</w:t>
      </w:r>
    </w:p>
    <w:p>
      <w:pPr>
        <w:numPr>
          <w:ilvl w:val="0"/>
          <w:numId w:val="2"/>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《民航重大安全隐患判定标准（2025年修订版）》规定的空管单位重大安全隐患。</w:t>
      </w:r>
    </w:p>
    <w:p>
      <w:pPr>
        <w:numPr>
          <w:ilvl w:val="0"/>
          <w:numId w:val="2"/>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被管理局或监管局确定为重点监管单位的。</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（二）发生以下情形之一需由绿区调整到黄区：</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一般失信行为，或管理局认为有诚信问题的。</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bookmarkStart w:id="4" w:name="_Hlk213482576"/>
      <w:r>
        <w:rPr>
          <w:rFonts w:hint="eastAsia" w:ascii="仿宋_GB2312" w:hAnsi="仿宋_GB2312" w:eastAsia="仿宋_GB2312" w:cs="仿宋_GB2312"/>
          <w:sz w:val="32"/>
          <w:szCs w:val="32"/>
        </w:rPr>
        <w:t>最近1年发生空管责任原因一般事件1起。</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经安全评估重大运行事项变更有较大安全风险。</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未通过安全管理体系审核；或SMS评审报告反映出风险管控能力不足的情况。</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行政检查发现问题多且涉及核心风险。</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未按要求整改或整改不及时。</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风险控制与隐患排查能力弱，双清单质量低。</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法定自查表现明显敷衍。</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相同问题反复出现。</w:t>
      </w:r>
    </w:p>
    <w:p>
      <w:pPr>
        <w:numPr>
          <w:ilvl w:val="0"/>
          <w:numId w:val="3"/>
        </w:numPr>
        <w:spacing w:after="160"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其他需要加强监管的情况。</w:t>
      </w:r>
    </w:p>
    <w:bookmarkEnd w:id="4"/>
    <w:p>
      <w:pPr>
        <w:numPr>
          <w:ilvl w:val="0"/>
          <w:numId w:val="4"/>
        </w:num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未发生以上情况的，可降低风险等级处理：红区调整至黄区；黄区调整至绿区。</w:t>
      </w:r>
    </w:p>
    <w:p>
      <w:pPr>
        <w:numPr>
          <w:ilvl w:val="255"/>
          <w:numId w:val="0"/>
        </w:numPr>
        <w:spacing w:after="160" w:line="560" w:lineRule="exact"/>
        <w:jc w:val="left"/>
        <w:rPr>
          <w:rFonts w:ascii="仿宋_GB2312" w:hAnsi="仿宋_GB2312" w:eastAsia="仿宋_GB2312" w:cs="仿宋_GB2312"/>
          <w:sz w:val="32"/>
          <w:szCs w:val="32"/>
        </w:rPr>
      </w:pPr>
    </w:p>
    <w:p>
      <w:pPr>
        <w:spacing w:after="160" w:line="560" w:lineRule="exact"/>
        <w:jc w:val="center"/>
        <w:rPr>
          <w:rFonts w:ascii="黑体" w:hAnsi="黑体" w:eastAsia="黑体" w:cs="黑体"/>
          <w:b/>
          <w:bCs/>
          <w:sz w:val="32"/>
          <w:szCs w:val="32"/>
        </w:rPr>
      </w:pPr>
      <w:r>
        <w:rPr>
          <w:rFonts w:hint="eastAsia" w:ascii="黑体" w:hAnsi="黑体" w:eastAsia="黑体" w:cs="黑体"/>
          <w:b/>
          <w:bCs/>
          <w:sz w:val="32"/>
          <w:szCs w:val="32"/>
        </w:rPr>
        <w:t>第三章 工作程序</w:t>
      </w:r>
    </w:p>
    <w:p>
      <w:pPr>
        <w:spacing w:after="160"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第九条</w:t>
      </w:r>
      <w:r>
        <w:rPr>
          <w:rFonts w:hint="eastAsia" w:ascii="仿宋_GB2312" w:hAnsi="仿宋_GB2312" w:eastAsia="仿宋_GB2312" w:cs="仿宋_GB2312"/>
          <w:sz w:val="32"/>
          <w:szCs w:val="32"/>
        </w:rPr>
        <w:t xml:space="preserve">  差异化监管的实施按照“</w:t>
      </w:r>
      <w:bookmarkStart w:id="5" w:name="OLE_LINK1"/>
      <w:r>
        <w:rPr>
          <w:rFonts w:hint="eastAsia" w:ascii="仿宋_GB2312" w:hAnsi="仿宋_GB2312" w:eastAsia="仿宋_GB2312" w:cs="仿宋_GB2312"/>
          <w:sz w:val="32"/>
          <w:szCs w:val="32"/>
        </w:rPr>
        <w:t>中小机场分级→</w:t>
      </w:r>
      <w:bookmarkEnd w:id="5"/>
      <w:r>
        <w:rPr>
          <w:rFonts w:hint="eastAsia" w:ascii="仿宋_GB2312" w:hAnsi="仿宋_GB2312" w:eastAsia="仿宋_GB2312" w:cs="仿宋_GB2312"/>
          <w:sz w:val="32"/>
          <w:szCs w:val="32"/>
        </w:rPr>
        <w:t>行政检查计划制定→监管实施→问题整改→跟踪复查”的工作步骤执行。</w:t>
      </w:r>
    </w:p>
    <w:p>
      <w:pPr>
        <w:spacing w:after="160"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 xml:space="preserve">第十条 </w:t>
      </w:r>
      <w:r>
        <w:rPr>
          <w:rFonts w:hint="eastAsia" w:ascii="仿宋_GB2312" w:hAnsi="仿宋_GB2312" w:eastAsia="仿宋_GB2312" w:cs="仿宋_GB2312"/>
          <w:sz w:val="32"/>
          <w:szCs w:val="32"/>
        </w:rPr>
        <w:t xml:space="preserve"> 全国中小机场空管安全保障能力评估填报工作于每三年的首年3月初启动，各监管局及地区管理局需在当年5月底前完成相关的数据审核评估工作，民航局于9月底前完成初始分级名单的审定并公布。</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第十一条</w:t>
      </w:r>
      <w:r>
        <w:rPr>
          <w:rFonts w:hint="eastAsia" w:ascii="仿宋_GB2312" w:hAnsi="仿宋_GB2312" w:eastAsia="仿宋_GB2312" w:cs="仿宋_GB2312"/>
          <w:sz w:val="32"/>
          <w:szCs w:val="32"/>
        </w:rPr>
        <w:t xml:space="preserve">  自初始分级名单公布后，地区管理局于每年10月底前按照分级标准调整分级名单，并上报民航局备案。</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 xml:space="preserve">第十二条  </w:t>
      </w:r>
      <w:r>
        <w:rPr>
          <w:rFonts w:hint="eastAsia" w:ascii="仿宋_GB2312" w:hAnsi="仿宋_GB2312" w:eastAsia="仿宋_GB2312" w:cs="仿宋_GB2312"/>
          <w:sz w:val="32"/>
          <w:szCs w:val="32"/>
        </w:rPr>
        <w:t>各地区管理局根据民航局下发的《民航空管行政检查大纲补充要点》，同时参阅公布的安全保障能力评估报告及辖区内各空管运行单位详细评估结果，统筹制定本辖区行政检查计划必检目录。</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 xml:space="preserve">第十三条  </w:t>
      </w:r>
      <w:r>
        <w:rPr>
          <w:rFonts w:hint="eastAsia" w:ascii="仿宋_GB2312" w:hAnsi="仿宋_GB2312" w:eastAsia="仿宋_GB2312" w:cs="仿宋_GB2312"/>
          <w:sz w:val="32"/>
          <w:szCs w:val="32"/>
        </w:rPr>
        <w:t>各监管局根据辖区实际情况和分级名单细化检查任务，实施差异化监管。</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 xml:space="preserve">第十四条  </w:t>
      </w:r>
      <w:r>
        <w:rPr>
          <w:rFonts w:hint="eastAsia" w:ascii="仿宋_GB2312" w:hAnsi="仿宋_GB2312" w:eastAsia="仿宋_GB2312" w:cs="仿宋_GB2312"/>
          <w:sz w:val="32"/>
          <w:szCs w:val="32"/>
        </w:rPr>
        <w:t>针对中小机场的检查计划和实施方式如下（具体监管方式与内容参阅附件1 《空管中小机场差异化监管实施列表》）：</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sz w:val="32"/>
          <w:szCs w:val="32"/>
        </w:rPr>
        <w:t>对处在绿区的单位，按照“必检目录”优先远程审核相关文件，发现的问题和其余检查内容通过现场检查核实，检查频次一年一次。督促单位落实法定自查和安全检查工作，提高自我管理能力和水平。</w:t>
      </w:r>
    </w:p>
    <w:p>
      <w:pPr>
        <w:spacing w:after="160" w:line="560" w:lineRule="exact"/>
        <w:ind w:firstLine="640" w:firstLineChars="200"/>
        <w:jc w:val="left"/>
        <w:rPr>
          <w:rFonts w:ascii="仿宋_GB2312" w:hAnsi="仿宋_GB2312" w:eastAsia="仿宋_GB2312" w:cs="仿宋_GB2312"/>
          <w:color w:val="4874CB" w:themeColor="accent1"/>
          <w:sz w:val="32"/>
          <w:szCs w:val="32"/>
        </w:rPr>
      </w:pPr>
      <w:r>
        <w:rPr>
          <w:rFonts w:hint="eastAsia" w:ascii="仿宋_GB2312" w:hAnsi="仿宋_GB2312" w:eastAsia="仿宋_GB2312" w:cs="仿宋_GB2312"/>
          <w:sz w:val="32"/>
          <w:szCs w:val="32"/>
        </w:rPr>
        <w:t>（二）对处在黄区的单位，各监管局加强现场检查力度，关注核心风险并着力改善，检查计划需包括“必检目录”、评估薄弱项所对应的重点SID检查项（见附件2）或认为应该增加的SID检查项，检查频次不低于一年一次，检查形式为单独或交叉检查。</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对处在红区的单位，监管局要深入现场调查运行状况，挖掘深层次原因，通过高频次检查或增加单次检查时长完成SID检查项的全面覆盖，重点督促单位完善组织、系统建设。检查形式为交叉检查或联合检查，管理局视情况派员参加。管理局需对连续两年评定为红区的单位开展SMS专项审核。</w:t>
      </w:r>
    </w:p>
    <w:p>
      <w:pPr>
        <w:spacing w:after="160"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 xml:space="preserve">第十五条  </w:t>
      </w:r>
      <w:r>
        <w:rPr>
          <w:rFonts w:hint="eastAsia" w:ascii="仿宋_GB2312" w:hAnsi="仿宋_GB2312" w:eastAsia="仿宋_GB2312" w:cs="仿宋_GB2312"/>
          <w:sz w:val="32"/>
          <w:szCs w:val="32"/>
        </w:rPr>
        <w:t>分级名单为年度行政检查计划制定的依据，原则上每年进行一次，特殊情况可适时启动临时调整程序。临时调整程序由地区管理局根据第八条所述调级标准等情况进行调整，并制定相应的临时检查计划或开展空管SMS专项审核，报民航局备案。</w:t>
      </w:r>
    </w:p>
    <w:p>
      <w:pPr>
        <w:spacing w:after="16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重大运行变更事项包含但不限于降低最低飞行间隔，变更管制方式，新技术首次应用，实施新的飞行程序或管制程序，调整空域范围或空域结构，新建、改建、扩建民航空管运行设施设备等建设项目，其他可能影响安全风险水平的情况。</w:t>
      </w:r>
    </w:p>
    <w:p>
      <w:pPr>
        <w:spacing w:after="160"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第十六条</w:t>
      </w:r>
      <w:r>
        <w:rPr>
          <w:rFonts w:hint="eastAsia" w:ascii="楷体_GB2312" w:hAnsi="楷体_GB2312" w:eastAsia="楷体_GB2312" w:cs="楷体_GB2312"/>
          <w:b/>
          <w:bCs/>
          <w:sz w:val="32"/>
          <w:szCs w:val="32"/>
        </w:rPr>
        <w:t xml:space="preserve">  </w:t>
      </w:r>
      <w:r>
        <w:rPr>
          <w:rFonts w:hint="eastAsia" w:ascii="仿宋_GB2312" w:hAnsi="仿宋_GB2312" w:eastAsia="仿宋_GB2312" w:cs="仿宋_GB2312"/>
          <w:sz w:val="32"/>
          <w:szCs w:val="32"/>
        </w:rPr>
        <w:t>检查发现的问题由所在地监管局负责跟踪复查。对红区单位，检查人员要对上一次整改效果进行复核，未按要求完成整改的，下一轮分级评定不予降低风险等级处理。</w:t>
      </w:r>
    </w:p>
    <w:p>
      <w:pPr>
        <w:widowControl/>
        <w:spacing w:after="160" w:line="560" w:lineRule="exact"/>
        <w:ind w:firstLine="640" w:firstLineChars="200"/>
        <w:jc w:val="left"/>
        <w:textAlignment w:val="center"/>
        <w:rPr>
          <w:rFonts w:ascii="仿宋_GB2312" w:hAnsi="仿宋_GB2312" w:eastAsia="仿宋_GB2312" w:cs="仿宋_GB2312"/>
          <w:sz w:val="32"/>
          <w:szCs w:val="32"/>
        </w:rPr>
      </w:pPr>
    </w:p>
    <w:p>
      <w:pPr>
        <w:numPr>
          <w:ilvl w:val="255"/>
          <w:numId w:val="0"/>
        </w:numPr>
        <w:spacing w:after="160" w:line="560" w:lineRule="exact"/>
        <w:jc w:val="center"/>
        <w:rPr>
          <w:rFonts w:ascii="仿宋_GB2312" w:hAnsi="仿宋_GB2312" w:eastAsia="仿宋_GB2312" w:cs="仿宋_GB2312"/>
          <w:sz w:val="32"/>
          <w:szCs w:val="32"/>
        </w:rPr>
      </w:pPr>
      <w:r>
        <w:rPr>
          <w:rFonts w:hint="eastAsia" w:ascii="黑体" w:hAnsi="黑体" w:eastAsia="黑体" w:cs="黑体"/>
          <w:b/>
          <w:bCs/>
          <w:sz w:val="32"/>
          <w:szCs w:val="32"/>
        </w:rPr>
        <w:t>第四章 说明</w:t>
      </w:r>
    </w:p>
    <w:p>
      <w:pPr>
        <w:spacing w:after="160"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 xml:space="preserve">第十七条  </w:t>
      </w:r>
      <w:r>
        <w:rPr>
          <w:rFonts w:hint="eastAsia" w:ascii="仿宋_GB2312" w:hAnsi="仿宋_GB2312" w:eastAsia="仿宋_GB2312" w:cs="仿宋_GB2312"/>
          <w:sz w:val="32"/>
          <w:szCs w:val="32"/>
        </w:rPr>
        <w:t>初始分级名单除考虑不安全事件数量及性质外，优先考虑了包括军民合用情况、运行规模大小、特殊机场、高高原复杂机场等高风险因素。</w:t>
      </w:r>
    </w:p>
    <w:p>
      <w:pPr>
        <w:spacing w:after="160"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 xml:space="preserve">第十八条  </w:t>
      </w:r>
      <w:r>
        <w:rPr>
          <w:rFonts w:hint="eastAsia" w:ascii="仿宋_GB2312" w:hAnsi="仿宋_GB2312" w:eastAsia="仿宋_GB2312" w:cs="仿宋_GB2312"/>
          <w:sz w:val="32"/>
          <w:szCs w:val="32"/>
        </w:rPr>
        <w:t>安全保障能力评估报告分为三个层级：全国空管安全保障能力评估报告、地区级空管安全保障能力评估报告、各空管运行单位详细评估结果。</w:t>
      </w:r>
    </w:p>
    <w:p>
      <w:pPr>
        <w:spacing w:after="16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全国空管安全保障能力评估报告是对全国范围空管运行单位的总体评估。</w:t>
      </w:r>
    </w:p>
    <w:p>
      <w:pPr>
        <w:spacing w:after="16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地区级空管安全保障能力评估报告是将所辖范围内所有中小机场空管运行单位进行分析对比后出具的报告。</w:t>
      </w:r>
    </w:p>
    <w:p>
      <w:pPr>
        <w:spacing w:after="16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各空管运行单位详细评估结果是对某一个空管运行单位的具体评估情况，细化到各项评估指标，通过横向对比提出薄弱项。</w:t>
      </w:r>
    </w:p>
    <w:p>
      <w:pPr>
        <w:spacing w:after="160" w:line="560" w:lineRule="exact"/>
        <w:ind w:firstLine="642" w:firstLineChars="200"/>
        <w:rPr>
          <w:rFonts w:ascii="仿宋_GB2312" w:hAnsi="仿宋_GB2312" w:eastAsia="仿宋_GB2312" w:cs="仿宋_GB2312"/>
          <w:sz w:val="32"/>
          <w:szCs w:val="32"/>
        </w:rPr>
      </w:pPr>
      <w:bookmarkStart w:id="6" w:name="OLE_LINK6"/>
      <w:bookmarkStart w:id="7" w:name="OLE_LINK7"/>
      <w:r>
        <w:rPr>
          <w:rFonts w:hint="eastAsia" w:ascii="黑体" w:hAnsi="黑体" w:eastAsia="黑体" w:cs="黑体"/>
          <w:b/>
          <w:bCs/>
          <w:sz w:val="32"/>
          <w:szCs w:val="32"/>
        </w:rPr>
        <w:t xml:space="preserve">第十九条  </w:t>
      </w:r>
      <w:r>
        <w:rPr>
          <w:rFonts w:hint="eastAsia" w:ascii="仿宋_GB2312" w:hAnsi="仿宋_GB2312" w:eastAsia="仿宋_GB2312" w:cs="仿宋_GB2312"/>
          <w:sz w:val="32"/>
          <w:szCs w:val="32"/>
        </w:rPr>
        <w:t>评估薄弱项是评估中对比其他单位该项相对薄弱的指标项。</w:t>
      </w:r>
    </w:p>
    <w:bookmarkEnd w:id="6"/>
    <w:bookmarkEnd w:id="7"/>
    <w:p>
      <w:pPr>
        <w:spacing w:after="160" w:line="560" w:lineRule="exact"/>
        <w:rPr>
          <w:rFonts w:ascii="仿宋_GB2312" w:hAnsi="仿宋_GB2312" w:eastAsia="仿宋_GB2312" w:cs="仿宋_GB2312"/>
          <w:sz w:val="32"/>
          <w:szCs w:val="32"/>
        </w:rPr>
      </w:pPr>
    </w:p>
    <w:p>
      <w:pPr>
        <w:spacing w:after="160" w:line="560" w:lineRule="exact"/>
        <w:ind w:firstLine="640" w:firstLineChars="200"/>
        <w:jc w:val="left"/>
        <w:rPr>
          <w:rFonts w:ascii="仿宋_GB2312" w:hAnsi="仿宋_GB2312" w:eastAsia="仿宋_GB2312" w:cs="仿宋_GB2312"/>
          <w:sz w:val="32"/>
          <w:szCs w:val="32"/>
        </w:rPr>
      </w:pPr>
    </w:p>
    <w:p>
      <w:pPr>
        <w:spacing w:after="160" w:line="560" w:lineRule="exact"/>
        <w:jc w:val="left"/>
        <w:rPr>
          <w:rFonts w:ascii="方正小标宋简体" w:hAnsi="方正小标宋简体" w:eastAsia="方正小标宋简体" w:cs="方正小标宋简体"/>
          <w:sz w:val="36"/>
          <w:szCs w:val="44"/>
        </w:rPr>
        <w:sectPr>
          <w:footerReference r:id="rId3" w:type="default"/>
          <w:pgSz w:w="11906" w:h="16838"/>
          <w:pgMar w:top="1440" w:right="1800" w:bottom="1440" w:left="1800" w:header="851" w:footer="992" w:gutter="0"/>
          <w:cols w:space="425" w:num="1"/>
          <w:docGrid w:type="lines" w:linePitch="312" w:charSpace="0"/>
        </w:sectPr>
      </w:pPr>
    </w:p>
    <w:p>
      <w:pPr>
        <w:spacing w:after="160" w:line="560" w:lineRule="exact"/>
        <w:jc w:val="left"/>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附件1空管中小机场差异化监管实施列表</w:t>
      </w:r>
    </w:p>
    <w:tbl>
      <w:tblPr>
        <w:tblStyle w:val="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531"/>
        <w:gridCol w:w="1439"/>
        <w:gridCol w:w="2370"/>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800" w:type="dxa"/>
            <w:vAlign w:val="center"/>
          </w:tcPr>
          <w:p>
            <w:pPr>
              <w:widowControl/>
              <w:snapToGrid w:val="0"/>
              <w:spacing w:after="160"/>
              <w:jc w:val="center"/>
              <w:textAlignment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级别</w:t>
            </w:r>
          </w:p>
        </w:tc>
        <w:tc>
          <w:tcPr>
            <w:tcW w:w="1531" w:type="dxa"/>
            <w:vAlign w:val="center"/>
          </w:tcPr>
          <w:p>
            <w:pPr>
              <w:widowControl/>
              <w:snapToGrid w:val="0"/>
              <w:spacing w:after="160"/>
              <w:jc w:val="center"/>
              <w:textAlignment w:val="center"/>
              <w:rPr>
                <w:rFonts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rPr>
              <w:t>频次</w:t>
            </w:r>
          </w:p>
        </w:tc>
        <w:tc>
          <w:tcPr>
            <w:tcW w:w="1439" w:type="dxa"/>
            <w:vAlign w:val="center"/>
          </w:tcPr>
          <w:p>
            <w:pPr>
              <w:widowControl/>
              <w:snapToGrid w:val="0"/>
              <w:spacing w:after="160"/>
              <w:jc w:val="center"/>
              <w:textAlignment w:val="center"/>
              <w:rPr>
                <w:rFonts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rPr>
              <w:t>检查形式</w:t>
            </w:r>
          </w:p>
        </w:tc>
        <w:tc>
          <w:tcPr>
            <w:tcW w:w="2370" w:type="dxa"/>
            <w:vAlign w:val="center"/>
          </w:tcPr>
          <w:p>
            <w:pPr>
              <w:widowControl/>
              <w:snapToGrid w:val="0"/>
              <w:spacing w:after="160"/>
              <w:jc w:val="center"/>
              <w:textAlignment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检查内容</w:t>
            </w:r>
          </w:p>
          <w:p>
            <w:pPr>
              <w:widowControl/>
              <w:snapToGrid w:val="0"/>
              <w:spacing w:after="160"/>
              <w:jc w:val="center"/>
              <w:textAlignment w:val="center"/>
              <w:rPr>
                <w:rFonts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rPr>
              <w:t>（最低清单）</w:t>
            </w:r>
          </w:p>
        </w:tc>
        <w:tc>
          <w:tcPr>
            <w:tcW w:w="2329" w:type="dxa"/>
            <w:vAlign w:val="center"/>
          </w:tcPr>
          <w:p>
            <w:pPr>
              <w:widowControl/>
              <w:snapToGrid w:val="0"/>
              <w:spacing w:after="160"/>
              <w:jc w:val="center"/>
              <w:textAlignment w:val="center"/>
              <w:rPr>
                <w:rFonts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rPr>
              <w:t>要求及目标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00" w:type="dxa"/>
            <w:vAlign w:val="center"/>
          </w:tcPr>
          <w:p>
            <w:pPr>
              <w:snapToGrid w:val="0"/>
              <w:spacing w:after="160"/>
              <w:jc w:val="center"/>
              <w:rPr>
                <w:rFonts w:ascii="仿宋_GB2312" w:hAnsi="宋体" w:eastAsia="仿宋_GB2312" w:cs="宋体"/>
                <w:sz w:val="28"/>
                <w:szCs w:val="28"/>
              </w:rPr>
            </w:pPr>
            <w:r>
              <w:rPr>
                <w:rFonts w:hint="eastAsia" w:ascii="仿宋_GB2312" w:hAnsi="宋体" w:eastAsia="仿宋_GB2312" w:cs="宋体"/>
                <w:sz w:val="28"/>
                <w:szCs w:val="28"/>
              </w:rPr>
              <w:t>绿区</w:t>
            </w:r>
          </w:p>
        </w:tc>
        <w:tc>
          <w:tcPr>
            <w:tcW w:w="1531" w:type="dxa"/>
            <w:vAlign w:val="center"/>
          </w:tcPr>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kern w:val="0"/>
                <w:sz w:val="28"/>
                <w:szCs w:val="28"/>
              </w:rPr>
              <w:t>1次/年</w:t>
            </w:r>
          </w:p>
        </w:tc>
        <w:tc>
          <w:tcPr>
            <w:tcW w:w="1439" w:type="dxa"/>
            <w:vAlign w:val="center"/>
          </w:tcPr>
          <w:p>
            <w:pPr>
              <w:widowControl/>
              <w:snapToGrid w:val="0"/>
              <w:spacing w:after="160"/>
              <w:jc w:val="center"/>
              <w:textAlignment w:val="center"/>
              <w:rPr>
                <w:rFonts w:ascii="仿宋_GB2312" w:hAnsi="宋体" w:eastAsia="仿宋_GB2312" w:cs="宋体"/>
                <w:color w:val="auto"/>
                <w:sz w:val="28"/>
                <w:szCs w:val="28"/>
              </w:rPr>
            </w:pPr>
            <w:r>
              <w:rPr>
                <w:rFonts w:hint="eastAsia" w:ascii="仿宋_GB2312" w:hAnsi="宋体" w:eastAsia="仿宋_GB2312" w:cs="宋体"/>
                <w:color w:val="auto"/>
                <w:sz w:val="28"/>
                <w:szCs w:val="28"/>
              </w:rPr>
              <w:t>单独检查</w:t>
            </w:r>
          </w:p>
        </w:tc>
        <w:tc>
          <w:tcPr>
            <w:tcW w:w="2370" w:type="dxa"/>
            <w:vAlign w:val="center"/>
          </w:tcPr>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sz w:val="28"/>
                <w:szCs w:val="28"/>
              </w:rPr>
              <w:t>必检目录</w:t>
            </w:r>
          </w:p>
        </w:tc>
        <w:tc>
          <w:tcPr>
            <w:tcW w:w="2329" w:type="dxa"/>
            <w:vAlign w:val="center"/>
          </w:tcPr>
          <w:p>
            <w:pPr>
              <w:widowControl/>
              <w:snapToGrid w:val="0"/>
              <w:spacing w:after="160"/>
              <w:jc w:val="lef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重点推动法定自查和安全绩效考核；</w:t>
            </w:r>
          </w:p>
          <w:p>
            <w:pPr>
              <w:widowControl/>
              <w:snapToGrid w:val="0"/>
              <w:spacing w:after="160"/>
              <w:jc w:val="lef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加强运行及安全管理的良性运作。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800" w:type="dxa"/>
            <w:vAlign w:val="center"/>
          </w:tcPr>
          <w:p>
            <w:pPr>
              <w:snapToGrid w:val="0"/>
              <w:spacing w:after="160"/>
              <w:jc w:val="center"/>
              <w:rPr>
                <w:rFonts w:ascii="仿宋_GB2312" w:hAnsi="宋体" w:eastAsia="仿宋_GB2312" w:cs="宋体"/>
                <w:sz w:val="28"/>
                <w:szCs w:val="28"/>
              </w:rPr>
            </w:pPr>
            <w:r>
              <w:rPr>
                <w:rFonts w:hint="eastAsia" w:ascii="仿宋_GB2312" w:hAnsi="宋体" w:eastAsia="仿宋_GB2312" w:cs="宋体"/>
                <w:sz w:val="28"/>
                <w:szCs w:val="28"/>
              </w:rPr>
              <w:t>黄区</w:t>
            </w:r>
          </w:p>
        </w:tc>
        <w:tc>
          <w:tcPr>
            <w:tcW w:w="1531" w:type="dxa"/>
            <w:vAlign w:val="center"/>
          </w:tcPr>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kern w:val="0"/>
                <w:sz w:val="28"/>
                <w:szCs w:val="28"/>
              </w:rPr>
              <w:t>1-2次/年</w:t>
            </w:r>
          </w:p>
        </w:tc>
        <w:tc>
          <w:tcPr>
            <w:tcW w:w="1439" w:type="dxa"/>
            <w:vAlign w:val="center"/>
          </w:tcPr>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kern w:val="0"/>
                <w:sz w:val="28"/>
                <w:szCs w:val="28"/>
              </w:rPr>
              <w:t>单独或交叉检查</w:t>
            </w:r>
          </w:p>
        </w:tc>
        <w:tc>
          <w:tcPr>
            <w:tcW w:w="2370" w:type="dxa"/>
            <w:vAlign w:val="center"/>
          </w:tcPr>
          <w:p>
            <w:pPr>
              <w:widowControl/>
              <w:numPr>
                <w:ilvl w:val="0"/>
                <w:numId w:val="0"/>
              </w:numPr>
              <w:snapToGrid w:val="0"/>
              <w:spacing w:after="160"/>
              <w:jc w:val="both"/>
              <w:textAlignment w:val="center"/>
              <w:rPr>
                <w:rFonts w:ascii="仿宋_GB2312" w:hAnsi="宋体" w:eastAsia="仿宋_GB2312" w:cs="宋体"/>
                <w:sz w:val="28"/>
                <w:szCs w:val="28"/>
              </w:rPr>
            </w:pP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必检目录</w:t>
            </w:r>
          </w:p>
          <w:p>
            <w:pPr>
              <w:widowControl/>
              <w:numPr>
                <w:ilvl w:val="0"/>
                <w:numId w:val="0"/>
              </w:numPr>
              <w:snapToGrid w:val="0"/>
              <w:spacing w:after="160"/>
              <w:jc w:val="both"/>
              <w:textAlignment w:val="center"/>
              <w:rPr>
                <w:rFonts w:ascii="仿宋_GB2312" w:hAnsi="宋体" w:eastAsia="仿宋_GB2312" w:cs="宋体"/>
                <w:sz w:val="28"/>
                <w:szCs w:val="28"/>
              </w:rPr>
            </w:pP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评估年需选取评估薄弱项所对应的重点SID检查项，非评估年可视情况选择。</w:t>
            </w:r>
          </w:p>
        </w:tc>
        <w:tc>
          <w:tcPr>
            <w:tcW w:w="2329" w:type="dxa"/>
            <w:vAlign w:val="center"/>
          </w:tcPr>
          <w:p>
            <w:pPr>
              <w:widowControl/>
              <w:snapToGrid w:val="0"/>
              <w:spacing w:after="160"/>
              <w:jc w:val="lef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改善运行风险；</w:t>
            </w:r>
          </w:p>
          <w:p>
            <w:pPr>
              <w:widowControl/>
              <w:snapToGrid w:val="0"/>
              <w:spacing w:after="160"/>
              <w:jc w:val="left"/>
              <w:textAlignment w:val="center"/>
              <w:rPr>
                <w:rFonts w:ascii="仿宋_GB2312" w:hAnsi="宋体" w:eastAsia="仿宋_GB2312" w:cs="宋体"/>
                <w:sz w:val="28"/>
                <w:szCs w:val="28"/>
              </w:rPr>
            </w:pPr>
            <w:r>
              <w:rPr>
                <w:rFonts w:hint="eastAsia" w:ascii="仿宋_GB2312" w:hAnsi="宋体" w:eastAsia="仿宋_GB2312" w:cs="宋体"/>
                <w:kern w:val="0"/>
                <w:sz w:val="28"/>
                <w:szCs w:val="28"/>
              </w:rPr>
              <w:t>着重健全运行管理和安全管理体系建设。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800" w:type="dxa"/>
            <w:vAlign w:val="center"/>
          </w:tcPr>
          <w:p>
            <w:pPr>
              <w:snapToGrid w:val="0"/>
              <w:spacing w:after="160"/>
              <w:jc w:val="center"/>
              <w:rPr>
                <w:rFonts w:ascii="仿宋_GB2312" w:hAnsi="宋体" w:eastAsia="仿宋_GB2312" w:cs="宋体"/>
                <w:sz w:val="28"/>
                <w:szCs w:val="28"/>
              </w:rPr>
            </w:pPr>
            <w:r>
              <w:rPr>
                <w:rFonts w:hint="eastAsia" w:ascii="仿宋_GB2312" w:hAnsi="宋体" w:eastAsia="仿宋_GB2312" w:cs="宋体"/>
                <w:sz w:val="28"/>
                <w:szCs w:val="28"/>
              </w:rPr>
              <w:t>红区</w:t>
            </w:r>
          </w:p>
        </w:tc>
        <w:tc>
          <w:tcPr>
            <w:tcW w:w="1531" w:type="dxa"/>
            <w:vAlign w:val="center"/>
          </w:tcPr>
          <w:p>
            <w:pPr>
              <w:widowControl/>
              <w:snapToGrid w:val="0"/>
              <w:spacing w:after="160"/>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1-3次/年</w:t>
            </w:r>
          </w:p>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kern w:val="0"/>
                <w:sz w:val="28"/>
                <w:szCs w:val="28"/>
              </w:rPr>
              <w:t>（若仅1次则检查时长不得少于3天）</w:t>
            </w:r>
          </w:p>
        </w:tc>
        <w:tc>
          <w:tcPr>
            <w:tcW w:w="1439" w:type="dxa"/>
            <w:vAlign w:val="center"/>
          </w:tcPr>
          <w:p>
            <w:pPr>
              <w:widowControl/>
              <w:snapToGrid w:val="0"/>
              <w:spacing w:after="160"/>
              <w:jc w:val="center"/>
              <w:textAlignment w:val="center"/>
              <w:rPr>
                <w:rFonts w:ascii="仿宋_GB2312" w:hAnsi="宋体" w:eastAsia="仿宋_GB2312" w:cs="宋体"/>
                <w:color w:val="auto"/>
                <w:sz w:val="28"/>
                <w:szCs w:val="28"/>
              </w:rPr>
            </w:pPr>
            <w:r>
              <w:rPr>
                <w:rFonts w:hint="eastAsia" w:ascii="仿宋_GB2312" w:hAnsi="宋体" w:eastAsia="仿宋_GB2312" w:cs="宋体"/>
                <w:color w:val="auto"/>
                <w:kern w:val="0"/>
                <w:sz w:val="28"/>
                <w:szCs w:val="28"/>
              </w:rPr>
              <w:t>交叉或联合检查；管理局视情况派员参加。</w:t>
            </w:r>
          </w:p>
        </w:tc>
        <w:tc>
          <w:tcPr>
            <w:tcW w:w="2370" w:type="dxa"/>
            <w:vAlign w:val="center"/>
          </w:tcPr>
          <w:p>
            <w:pPr>
              <w:widowControl/>
              <w:snapToGrid w:val="0"/>
              <w:spacing w:after="160"/>
              <w:jc w:val="center"/>
              <w:textAlignment w:val="center"/>
              <w:rPr>
                <w:rFonts w:ascii="仿宋_GB2312" w:hAnsi="宋体" w:eastAsia="仿宋_GB2312" w:cs="宋体"/>
                <w:sz w:val="28"/>
                <w:szCs w:val="28"/>
              </w:rPr>
            </w:pPr>
            <w:r>
              <w:rPr>
                <w:rFonts w:hint="eastAsia" w:ascii="仿宋_GB2312" w:hAnsi="宋体" w:eastAsia="仿宋_GB2312" w:cs="宋体"/>
                <w:kern w:val="0"/>
                <w:sz w:val="28"/>
                <w:szCs w:val="28"/>
              </w:rPr>
              <w:t>SID检查项全覆盖</w:t>
            </w:r>
          </w:p>
        </w:tc>
        <w:tc>
          <w:tcPr>
            <w:tcW w:w="2329" w:type="dxa"/>
            <w:vAlign w:val="center"/>
          </w:tcPr>
          <w:p>
            <w:pPr>
              <w:widowControl/>
              <w:snapToGrid w:val="0"/>
              <w:spacing w:after="160"/>
              <w:jc w:val="left"/>
              <w:textAlignment w:val="center"/>
              <w:rPr>
                <w:rFonts w:ascii="仿宋_GB2312" w:hAnsi="宋体" w:eastAsia="仿宋_GB2312" w:cs="宋体"/>
                <w:sz w:val="28"/>
                <w:szCs w:val="28"/>
              </w:rPr>
            </w:pPr>
            <w:r>
              <w:rPr>
                <w:rFonts w:hint="eastAsia" w:ascii="仿宋_GB2312" w:hAnsi="宋体" w:eastAsia="仿宋_GB2312" w:cs="宋体"/>
                <w:kern w:val="0"/>
                <w:sz w:val="28"/>
                <w:szCs w:val="28"/>
              </w:rPr>
              <w:t>发现问题整改问题并跟踪形成闭环；</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以空管SMS为抓手，增强法定自查、内部安全检查工作的开展力度。</w:t>
            </w:r>
          </w:p>
        </w:tc>
      </w:tr>
    </w:tbl>
    <w:p>
      <w:pPr>
        <w:spacing w:after="160" w:line="560" w:lineRule="exact"/>
        <w:jc w:val="left"/>
        <w:rPr>
          <w:rFonts w:ascii="黑体" w:hAnsi="黑体" w:eastAsia="黑体" w:cs="黑体"/>
          <w:sz w:val="22"/>
          <w:szCs w:val="22"/>
        </w:rPr>
        <w:sectPr>
          <w:pgSz w:w="11906" w:h="16838"/>
          <w:pgMar w:top="1440" w:right="1803" w:bottom="1440" w:left="1803" w:header="851" w:footer="992" w:gutter="0"/>
          <w:cols w:space="0" w:num="1"/>
          <w:docGrid w:type="linesAndChars" w:linePitch="319" w:charSpace="0"/>
        </w:sectPr>
      </w:pPr>
      <w:r>
        <w:rPr>
          <w:rFonts w:hint="eastAsia" w:ascii="仿宋_GB2312" w:hAnsi="仿宋_GB2312" w:eastAsia="仿宋_GB2312" w:cs="仿宋_GB2312"/>
          <w:sz w:val="24"/>
        </w:rPr>
        <w:t>注：“评估年”特指出具评估报告的这一年。</w:t>
      </w:r>
    </w:p>
    <w:p>
      <w:pPr>
        <w:spacing w:after="160" w:line="560" w:lineRule="exact"/>
        <w:jc w:val="left"/>
        <w:rPr>
          <w:rFonts w:ascii="黑体" w:hAnsi="黑体" w:eastAsia="黑体" w:cs="黑体"/>
          <w:sz w:val="32"/>
          <w:szCs w:val="32"/>
        </w:rPr>
      </w:pPr>
      <w:r>
        <w:rPr>
          <w:rFonts w:hint="eastAsia" w:ascii="黑体" w:hAnsi="黑体" w:eastAsia="黑体" w:cs="黑体"/>
          <w:sz w:val="32"/>
          <w:szCs w:val="32"/>
        </w:rPr>
        <w:t>附件2 评估薄弱项所对应的重点SID检查项</w:t>
      </w:r>
    </w:p>
    <w:p>
      <w:pPr>
        <w:spacing w:after="160" w:line="560" w:lineRule="exact"/>
        <w:ind w:firstLine="644"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本表所列重点SID检查项来自于近5年高频整改SID项的统计，并未覆盖全部SID。监管局根据实际情况和监管需要，选取相关的重点SID，并在此基础上适当增加或调整。</w:t>
      </w:r>
    </w:p>
    <w:p>
      <w:pPr>
        <w:spacing w:after="160" w:line="560" w:lineRule="exact"/>
        <w:ind w:firstLine="644"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本表原则上三年更新一次。</w:t>
      </w:r>
    </w:p>
    <w:tbl>
      <w:tblPr>
        <w:tblStyle w:val="7"/>
        <w:tblW w:w="9097" w:type="dxa"/>
        <w:jc w:val="center"/>
        <w:tblLayout w:type="fixed"/>
        <w:tblCellMar>
          <w:top w:w="0" w:type="dxa"/>
          <w:left w:w="108" w:type="dxa"/>
          <w:bottom w:w="0" w:type="dxa"/>
          <w:right w:w="108" w:type="dxa"/>
        </w:tblCellMar>
      </w:tblPr>
      <w:tblGrid>
        <w:gridCol w:w="495"/>
        <w:gridCol w:w="834"/>
        <w:gridCol w:w="1230"/>
        <w:gridCol w:w="1706"/>
        <w:gridCol w:w="1612"/>
        <w:gridCol w:w="3220"/>
      </w:tblGrid>
      <w:tr>
        <w:tblPrEx>
          <w:tblCellMar>
            <w:top w:w="0" w:type="dxa"/>
            <w:left w:w="108" w:type="dxa"/>
            <w:bottom w:w="0" w:type="dxa"/>
            <w:right w:w="108" w:type="dxa"/>
          </w:tblCellMar>
        </w:tblPrEx>
        <w:trPr>
          <w:tblHeader/>
          <w:jc w:val="center"/>
        </w:trPr>
        <w:tc>
          <w:tcPr>
            <w:tcW w:w="1329"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snapToGrid w:val="0"/>
              <w:jc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评估项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类别</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检查项目</w:t>
            </w:r>
          </w:p>
        </w:tc>
        <w:tc>
          <w:tcPr>
            <w:tcW w:w="4832"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重点SID</w:t>
            </w:r>
          </w:p>
        </w:tc>
      </w:tr>
      <w:tr>
        <w:tblPrEx>
          <w:tblCellMar>
            <w:top w:w="0" w:type="dxa"/>
            <w:left w:w="108" w:type="dxa"/>
            <w:bottom w:w="0" w:type="dxa"/>
            <w:right w:w="108" w:type="dxa"/>
          </w:tblCellMar>
        </w:tblPrEx>
        <w:trPr>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安全管理人员</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安全管理制度（2-V6）</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SID-80029</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安全检查人员</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安全培训（6-V3）</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SID-80015V3</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安全基础培训</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SID-80017V1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专项安全培训</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SID-80019V2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培训档案管理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管制人员</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管制员资质管理（1-V4）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SID-76010V2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管制员技术档案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SID-76014V2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执照年度考核</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管制员培训管理（2-V3）</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SID-76022V2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管制单位的岗位培训职责</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SID-76023V2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管制单位开展岗位培训条件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SID-76028V2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培训主管职责</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SID-76030V2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岗位培训记录</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空中交通管制运行监督管理（6-V4）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SID-76084</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管制岗位工作制度应明确各工作席位和职责</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SID-76085</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值班管理规定</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SID-76090</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特殊事件处置或工作程序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SID-76091V1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岗位监控</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SID-76100</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执勤时间制度</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SID-76103</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陆空无线电通信基本要求</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SID-76109</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进程单的使用要求</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SID-76151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与航空器失去陆空通信联络的处置</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SID-76215</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空中交通服务应急预案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SID-76217</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机场机动区的活动观察</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情报人员</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情报员资质管理（3-V1）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SID-76057V1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持照人知识技能考核</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情报员培训管理（4-V2）</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SID-76055V1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航空情报员技术档案管理</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SID-76060V1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岗位培训组织实施</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航行情报运行（7-V3）</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SID-76168</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航空情报质量管理制度</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与原始数据提供部门、单位建立反馈和定期协调、培训和符合性检查机制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通导人员</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民用航空电信人员执照管理(6-V3)</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SID-79125V2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人员技术档案</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SID-79129V3</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复习培训</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SID-79130V2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附加培训</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SID-79151V2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岗位要求</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气象人员</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人员资质与培训（10-V1）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SID-77055V1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人员配备</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SID-77057V1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人员培训</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SID-77058V1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人员技术档案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气象应急管理（15-V1）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SID-77092V1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应急预案制定</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SID-77093V1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应急预案修订</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SID-77094V1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应急演练</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SID-77107</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应急评估</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航空气象观测（14-V1）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SID-77083V1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观测岗位职责</w:t>
            </w:r>
          </w:p>
        </w:tc>
      </w:tr>
      <w:tr>
        <w:tblPrEx>
          <w:tblCellMar>
            <w:top w:w="0" w:type="dxa"/>
            <w:left w:w="108" w:type="dxa"/>
            <w:bottom w:w="0" w:type="dxa"/>
            <w:right w:w="108" w:type="dxa"/>
          </w:tblCellMar>
        </w:tblPrEx>
        <w:trPr>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设施设备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设备运行管理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设施设备（11-V2）</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SID-77061V2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设备配备</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SID-77063V1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防雷</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SID-77066V1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设施设备维护维修制度及落实（气象）</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SID-77069V1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计量检定（气象）</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SID-77070V1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设备技术档案</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通信导航监视运行管理（1-V4）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SID-79019V2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设备授时系统</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SID-79023V3</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安全标识及设备标识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SID-79024V2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设备消防</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SID-79027V2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记录仪配置</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SID-79043V2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导航台运行环境</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SID-79056V2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运行手册</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SID-79059V2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机房管理制度</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SID-79062V2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器材和工具管理制度</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SID-79075V2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运行记录</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SID-79078V2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防雷管理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SID-79083V2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资料管理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SID-79181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设备运行监控</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运输航空导航设备开放运行管理（9-V2）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SID-79191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安全评估机制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民用航空无线电管理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民用航空无线电频率和呼号管理（1-V2）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SID-78001V2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民用航空无线电台 (站) 频率和呼号</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民用机场和地面航空无线电台 (站) 电磁环境保护（3-V2）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SID-78008V2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民用机场和地面航空无线电台 (站) 电磁环境保护</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设备定期维护</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通信导航监视运行管理（1-V4）</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SID-79066V2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维护维修管理</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备份系统</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通信导航监视运行管理（1-V4）</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SID-79061V2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备件管理制度</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应急处置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民用航空无线电管理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民用航空器电台管理（2-V2）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SID-78006V2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民用航空机载 ELT 管理工作程序和应急措施</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应急管理（4-V2）</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SID-79108V2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设备重大故障应急管理制度</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SID-79109V2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设备重大故障应急预案制定</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SID-79110V2</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应急预案修订</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SID-79112V2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应急演练</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供电保障</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通信导航监视运行管理（1-V4）</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SID-79022V2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电源系统</w:t>
            </w:r>
          </w:p>
        </w:tc>
      </w:tr>
      <w:tr>
        <w:tblPrEx>
          <w:tblCellMar>
            <w:top w:w="0" w:type="dxa"/>
            <w:left w:w="108" w:type="dxa"/>
            <w:bottom w:w="0" w:type="dxa"/>
            <w:right w:w="108" w:type="dxa"/>
          </w:tblCellMar>
        </w:tblPrEx>
        <w:trPr>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运行环境及特征</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气象运行环境与管理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航空气象服务（6-V2）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SID-77034V2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特订气象服务</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航空天气预报（7-V1）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SID-77036V1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着陆预报</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SID-77040V1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机场警报</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气象探测环境管理（8-V2）</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SID-77046V2</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航空气象探测环境的保护 1</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SID-77126</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能见度目标物的选择和设置要求</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SID-77127</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能见度目标灯的选择和设置要求</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气象资料管理（9-V1）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SID-77052V1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资料保存</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质量管理（13-V1）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SID-77078V1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质量管理目标</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SID-77079V1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质量管理制度</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航空气象观测（14-V1）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SID-77087V1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观测记录</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航空气象服务机构（16-V1）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SID-77097V1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机构的运行条件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SID-77114</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机构运行要求 4</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空域及地形特征（包括特殊机场、高原机场）</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航空气象服务（6-V2）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SID-77034V2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特订气象服务</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航空天气预报（7-V1）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SID-77036V1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着陆预报</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SID-77040V1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机场警报</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空中交通管制运行监督管理（6-V4）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SID-76150</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复杂气象条件下的管制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SID-76151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与航空器失去陆空通信联络的处置</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SID-76205</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运行手册的内容</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SID-76215</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空中交通服务应急预案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航行情报运行（7-V3）</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与原始数据提供部门、单位建立反馈和定期协调、培训和符合性检查机制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应急管理（8-V1）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SID-76192V1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SID-76194V1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应急演练</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跑道使用情况（包括军民合用）</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空中交通管制运行监督管理（6-V4）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SID-76088</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管制协调移交程序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SID-76090</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特殊事件处置或工作程序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SID-76091V1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岗位监控</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SID-76109</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进程单的使用要求</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SID-76149</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航空器紧急情况处置检查单</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SID-76205</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运行手册的内容</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SID-76217</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机场机动区的活动观察</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应急管理（8-V1）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SID-76192V1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SID-76194V1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应急演练</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跑道安全（13-V2）</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SID-80034V1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防止跑道侵入培训</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SID-80035V1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防止跑道侵入的实施</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运行规模（包括仪表着陆系统配置情况）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空中交通管制运行监督管理（6-V4）</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SID-76088</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管制协调移交程序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SID-76090</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特殊事件处置或工作程序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SID-76091V1</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岗位监控</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SID-76109</w:t>
            </w:r>
          </w:p>
        </w:tc>
        <w:tc>
          <w:tcPr>
            <w:tcW w:w="3220" w:type="dxa"/>
            <w:tcBorders>
              <w:top w:val="nil"/>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进程单的使用要求</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SID-76149</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航空器紧急情况处置检查单</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航行情报运行（7-V3）</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与原始数据提供部门、单位建立反馈和定期协调、培训和符合性检查机制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应急管理（8-V1）</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SID-76192V1</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SID-76194V1</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应急演练</w:t>
            </w:r>
          </w:p>
        </w:tc>
      </w:tr>
      <w:tr>
        <w:trPr>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整体安全情况</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安全管理体系（1-V2）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SID-80001V1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安全管理体系内容</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安全政策</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应急管理（8-V1）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SID-76192V1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应急预案</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安全管理制度（2-V6）</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SID-80006V2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应急管理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安全目标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安全绩效（5-V2）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SID-80013V2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安全绩效指标</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安全风险管理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危险源辨识及风险评估（3-V3）</w:t>
            </w:r>
          </w:p>
        </w:tc>
        <w:tc>
          <w:tcPr>
            <w:tcW w:w="1612" w:type="dxa"/>
            <w:tcBorders>
              <w:top w:val="single" w:color="auto" w:sz="4" w:space="0"/>
              <w:left w:val="single" w:color="auto" w:sz="4" w:space="0"/>
              <w:bottom w:val="nil"/>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SID-80009V3</w:t>
            </w:r>
          </w:p>
        </w:tc>
        <w:tc>
          <w:tcPr>
            <w:tcW w:w="3220" w:type="dxa"/>
            <w:tcBorders>
              <w:top w:val="single" w:color="auto" w:sz="4" w:space="0"/>
              <w:left w:val="nil"/>
              <w:bottom w:val="nil"/>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风险管理制度及程序</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left"/>
              <w:rPr>
                <w:rFonts w:ascii="仿宋_GB2312" w:hAnsi="宋体" w:eastAsia="仿宋_GB2312" w:cs="仿宋_GB2312"/>
                <w:color w:val="000000"/>
                <w:sz w:val="24"/>
              </w:rPr>
            </w:pPr>
          </w:p>
        </w:tc>
        <w:tc>
          <w:tcPr>
            <w:tcW w:w="1612" w:type="dxa"/>
            <w:tcBorders>
              <w:top w:val="nil"/>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SID-80010V2</w:t>
            </w:r>
          </w:p>
        </w:tc>
        <w:tc>
          <w:tcPr>
            <w:tcW w:w="3220" w:type="dxa"/>
            <w:tcBorders>
              <w:top w:val="nil"/>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危险源辨识</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安全隐患排查治理（4-V1）</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SID-80012V1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安全隐患排查机制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安全保证</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空中交通管制运行监督管理（6-V4）</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SID-76204</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运行手册的管理</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航空电信</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通信导航监视运行管理（1-V4）</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SID-79056V2</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运行手册</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运输航空导航设备开放运行管理（9-V2）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SID-79191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安全评估机制</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安全管理制度（2-V6）</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SID-80030</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安全检查的实施</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跑道安全（13-V2）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SID-80035V1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防止跑道侵入的实施</w:t>
            </w:r>
          </w:p>
        </w:tc>
      </w:tr>
      <w:tr>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安全促进</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空管安全管理（公共部分）</w:t>
            </w: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安全管理制度（2-V6）</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SID-80029</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安全检查人员</w:t>
            </w:r>
          </w:p>
        </w:tc>
      </w:tr>
      <w:tr>
        <w:tblPrEx>
          <w:tblCellMar>
            <w:top w:w="0" w:type="dxa"/>
            <w:left w:w="108" w:type="dxa"/>
            <w:bottom w:w="0" w:type="dxa"/>
            <w:right w:w="108" w:type="dxa"/>
          </w:tblCellMar>
        </w:tblPrEx>
        <w:trPr>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ascii="仿宋_GB2312" w:hAnsi="宋体" w:eastAsia="仿宋_GB2312" w:cs="仿宋_GB2312"/>
                <w:color w:val="000000"/>
                <w:sz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left"/>
              <w:rPr>
                <w:rFonts w:ascii="仿宋_GB2312" w:hAnsi="宋体" w:eastAsia="仿宋_GB2312" w:cs="仿宋_GB2312"/>
                <w:color w:val="000000"/>
                <w:sz w:val="24"/>
              </w:rPr>
            </w:pPr>
          </w:p>
        </w:tc>
        <w:tc>
          <w:tcPr>
            <w:tcW w:w="170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跑道安全（13-V2）</w:t>
            </w:r>
          </w:p>
        </w:tc>
        <w:tc>
          <w:tcPr>
            <w:tcW w:w="1612" w:type="dxa"/>
            <w:tcBorders>
              <w:top w:val="single" w:color="auto" w:sz="4" w:space="0"/>
              <w:left w:val="single" w:color="auto" w:sz="4" w:space="0"/>
              <w:bottom w:val="single" w:color="auto" w:sz="4" w:space="0"/>
              <w:right w:val="nil"/>
            </w:tcBorders>
            <w:shd w:val="clear" w:color="auto" w:fill="FFFFFF"/>
            <w:vAlign w:val="center"/>
          </w:tcPr>
          <w:p>
            <w:pPr>
              <w:widowControl/>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SID-80034V1</w:t>
            </w:r>
          </w:p>
        </w:tc>
        <w:tc>
          <w:tcPr>
            <w:tcW w:w="3220"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防止跑道侵入培训</w:t>
            </w:r>
          </w:p>
        </w:tc>
      </w:tr>
    </w:tbl>
    <w:p>
      <w:pPr>
        <w:widowControl/>
        <w:jc w:val="left"/>
        <w:textAlignment w:val="center"/>
        <w:rPr>
          <w:rFonts w:ascii="仿宋_GB2312" w:hAnsi="仿宋_GB2312" w:eastAsia="仿宋_GB2312" w:cs="仿宋_GB2312"/>
          <w:kern w:val="0"/>
          <w:szCs w:val="21"/>
        </w:rPr>
      </w:pPr>
    </w:p>
    <w:p>
      <w:pPr>
        <w:ind w:firstLine="420"/>
        <w:jc w:val="left"/>
        <w:rPr>
          <w:rFonts w:ascii="方正小标宋简体" w:hAnsi="方正小标宋简体" w:eastAsia="方正小标宋简体" w:cs="方正小标宋简体"/>
          <w:sz w:val="36"/>
          <w:szCs w:val="44"/>
        </w:rPr>
      </w:pPr>
    </w:p>
    <w:p>
      <w:pPr>
        <w:ind w:firstLine="420"/>
        <w:jc w:val="left"/>
        <w:rPr>
          <w:rFonts w:ascii="方正小标宋简体" w:hAnsi="方正小标宋简体" w:eastAsia="方正小标宋简体" w:cs="方正小标宋简体"/>
          <w:sz w:val="36"/>
          <w:szCs w:val="44"/>
        </w:rPr>
      </w:pPr>
    </w:p>
    <w:sectPr>
      <w:pgSz w:w="11906" w:h="16838"/>
      <w:pgMar w:top="1440" w:right="1803" w:bottom="1440" w:left="1803" w:header="851" w:footer="992" w:gutter="0"/>
      <w:cols w:space="0" w:num="1"/>
      <w:docGrid w:type="linesAndChars" w:linePitch="319"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szCs w:val="24"/>
      </w:rPr>
    </w:pPr>
    <w:r>
      <w:rPr>
        <w:sz w:val="24"/>
        <w:szCs w:val="24"/>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954B0"/>
    <w:multiLevelType w:val="singleLevel"/>
    <w:tmpl w:val="B98954B0"/>
    <w:lvl w:ilvl="0" w:tentative="0">
      <w:start w:val="1"/>
      <w:numFmt w:val="decimal"/>
      <w:lvlText w:val="%1."/>
      <w:lvlJc w:val="left"/>
      <w:pPr>
        <w:ind w:left="425" w:hanging="425"/>
      </w:pPr>
      <w:rPr>
        <w:rFonts w:hint="default"/>
        <w:sz w:val="32"/>
        <w:szCs w:val="32"/>
      </w:rPr>
    </w:lvl>
  </w:abstractNum>
  <w:abstractNum w:abstractNumId="1">
    <w:nsid w:val="CB63270D"/>
    <w:multiLevelType w:val="singleLevel"/>
    <w:tmpl w:val="CB63270D"/>
    <w:lvl w:ilvl="0" w:tentative="0">
      <w:start w:val="3"/>
      <w:numFmt w:val="chineseCounting"/>
      <w:suff w:val="nothing"/>
      <w:lvlText w:val="（%1）"/>
      <w:lvlJc w:val="left"/>
      <w:rPr>
        <w:rFonts w:hint="eastAsia"/>
      </w:rPr>
    </w:lvl>
  </w:abstractNum>
  <w:abstractNum w:abstractNumId="2">
    <w:nsid w:val="F0AA1F71"/>
    <w:multiLevelType w:val="singleLevel"/>
    <w:tmpl w:val="F0AA1F71"/>
    <w:lvl w:ilvl="0" w:tentative="0">
      <w:start w:val="1"/>
      <w:numFmt w:val="chineseCounting"/>
      <w:suff w:val="space"/>
      <w:lvlText w:val="第%1章"/>
      <w:lvlJc w:val="left"/>
      <w:rPr>
        <w:rFonts w:hint="eastAsia"/>
        <w:b/>
        <w:bCs/>
      </w:rPr>
    </w:lvl>
  </w:abstractNum>
  <w:abstractNum w:abstractNumId="3">
    <w:nsid w:val="FC14E475"/>
    <w:multiLevelType w:val="singleLevel"/>
    <w:tmpl w:val="FC14E475"/>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05"/>
  <w:drawingGridVerticalSpacing w:val="319"/>
  <w:displayHorizont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9CD6F78"/>
    <w:rsid w:val="00024246"/>
    <w:rsid w:val="000454B3"/>
    <w:rsid w:val="000523B6"/>
    <w:rsid w:val="00062069"/>
    <w:rsid w:val="00062B9B"/>
    <w:rsid w:val="000B0079"/>
    <w:rsid w:val="000C5399"/>
    <w:rsid w:val="000C6FE2"/>
    <w:rsid w:val="00145714"/>
    <w:rsid w:val="001C1B7C"/>
    <w:rsid w:val="001C54B9"/>
    <w:rsid w:val="001C64FF"/>
    <w:rsid w:val="001D3799"/>
    <w:rsid w:val="002221BF"/>
    <w:rsid w:val="00227CF5"/>
    <w:rsid w:val="002744E4"/>
    <w:rsid w:val="00284806"/>
    <w:rsid w:val="0036500E"/>
    <w:rsid w:val="003675F5"/>
    <w:rsid w:val="00395232"/>
    <w:rsid w:val="00397F61"/>
    <w:rsid w:val="003A6DB3"/>
    <w:rsid w:val="003F0091"/>
    <w:rsid w:val="00401BB0"/>
    <w:rsid w:val="004078D6"/>
    <w:rsid w:val="0043753D"/>
    <w:rsid w:val="00445CE0"/>
    <w:rsid w:val="004537CE"/>
    <w:rsid w:val="0045526F"/>
    <w:rsid w:val="004A731E"/>
    <w:rsid w:val="005D590F"/>
    <w:rsid w:val="00642181"/>
    <w:rsid w:val="00647A44"/>
    <w:rsid w:val="00663CA3"/>
    <w:rsid w:val="006C551B"/>
    <w:rsid w:val="007406F3"/>
    <w:rsid w:val="007717B9"/>
    <w:rsid w:val="00797081"/>
    <w:rsid w:val="007E1850"/>
    <w:rsid w:val="007E187B"/>
    <w:rsid w:val="007F325D"/>
    <w:rsid w:val="008458CA"/>
    <w:rsid w:val="00855FE2"/>
    <w:rsid w:val="008B2C11"/>
    <w:rsid w:val="00907CA4"/>
    <w:rsid w:val="00943BC5"/>
    <w:rsid w:val="009902AE"/>
    <w:rsid w:val="009C481E"/>
    <w:rsid w:val="00A71B5A"/>
    <w:rsid w:val="00A81078"/>
    <w:rsid w:val="00AC54E6"/>
    <w:rsid w:val="00B031A6"/>
    <w:rsid w:val="00B55797"/>
    <w:rsid w:val="00B63817"/>
    <w:rsid w:val="00B639AC"/>
    <w:rsid w:val="00BB267D"/>
    <w:rsid w:val="00BB4D5B"/>
    <w:rsid w:val="00BB7DC2"/>
    <w:rsid w:val="00BD3146"/>
    <w:rsid w:val="00BE2EB9"/>
    <w:rsid w:val="00BE3C9C"/>
    <w:rsid w:val="00C05A56"/>
    <w:rsid w:val="00C05DE3"/>
    <w:rsid w:val="00C13BC2"/>
    <w:rsid w:val="00C15E89"/>
    <w:rsid w:val="00C26756"/>
    <w:rsid w:val="00C7526D"/>
    <w:rsid w:val="00C9057A"/>
    <w:rsid w:val="00CC4812"/>
    <w:rsid w:val="00CD3D69"/>
    <w:rsid w:val="00CF1692"/>
    <w:rsid w:val="00D55C12"/>
    <w:rsid w:val="00D66586"/>
    <w:rsid w:val="00D83D70"/>
    <w:rsid w:val="00E7173B"/>
    <w:rsid w:val="00EB0F7D"/>
    <w:rsid w:val="00ED6A18"/>
    <w:rsid w:val="00EE0DD3"/>
    <w:rsid w:val="00F27D24"/>
    <w:rsid w:val="00FE3A9F"/>
    <w:rsid w:val="011C6E60"/>
    <w:rsid w:val="01401248"/>
    <w:rsid w:val="03D62B26"/>
    <w:rsid w:val="07DE6248"/>
    <w:rsid w:val="08B51480"/>
    <w:rsid w:val="09615163"/>
    <w:rsid w:val="0C851169"/>
    <w:rsid w:val="0C8A367A"/>
    <w:rsid w:val="0EE93828"/>
    <w:rsid w:val="0F1F5681"/>
    <w:rsid w:val="0F2B3768"/>
    <w:rsid w:val="0F44355D"/>
    <w:rsid w:val="0FEC451E"/>
    <w:rsid w:val="113E5D8A"/>
    <w:rsid w:val="128123D2"/>
    <w:rsid w:val="141A488D"/>
    <w:rsid w:val="144B0EEA"/>
    <w:rsid w:val="145558C5"/>
    <w:rsid w:val="14F0042F"/>
    <w:rsid w:val="15AC3C0A"/>
    <w:rsid w:val="18475E6C"/>
    <w:rsid w:val="18F76EC7"/>
    <w:rsid w:val="1A491FFE"/>
    <w:rsid w:val="1A497C7A"/>
    <w:rsid w:val="1BBD2E04"/>
    <w:rsid w:val="1BEB6B08"/>
    <w:rsid w:val="1C49FF73"/>
    <w:rsid w:val="1E853AEF"/>
    <w:rsid w:val="22723E97"/>
    <w:rsid w:val="242D64B6"/>
    <w:rsid w:val="24A42772"/>
    <w:rsid w:val="251C1B13"/>
    <w:rsid w:val="25C94365"/>
    <w:rsid w:val="25E259AC"/>
    <w:rsid w:val="27651E6B"/>
    <w:rsid w:val="276576A9"/>
    <w:rsid w:val="27AA75BA"/>
    <w:rsid w:val="27F82CDF"/>
    <w:rsid w:val="28066421"/>
    <w:rsid w:val="285D2B31"/>
    <w:rsid w:val="286345FC"/>
    <w:rsid w:val="28F0653E"/>
    <w:rsid w:val="29504F5A"/>
    <w:rsid w:val="29CD6F78"/>
    <w:rsid w:val="2A30741E"/>
    <w:rsid w:val="2A3C1278"/>
    <w:rsid w:val="2BE75544"/>
    <w:rsid w:val="2D95B027"/>
    <w:rsid w:val="2DA01E4F"/>
    <w:rsid w:val="2DDDB01E"/>
    <w:rsid w:val="2ECDB171"/>
    <w:rsid w:val="2EE21CD8"/>
    <w:rsid w:val="2EF37D5C"/>
    <w:rsid w:val="2FBD0A96"/>
    <w:rsid w:val="32E02AF7"/>
    <w:rsid w:val="36581B5F"/>
    <w:rsid w:val="36930CE1"/>
    <w:rsid w:val="37A12A4B"/>
    <w:rsid w:val="37BF03D6"/>
    <w:rsid w:val="37C93D50"/>
    <w:rsid w:val="38981F6A"/>
    <w:rsid w:val="38DD3F57"/>
    <w:rsid w:val="39C44D91"/>
    <w:rsid w:val="39F74EBE"/>
    <w:rsid w:val="3B751DB3"/>
    <w:rsid w:val="3C5A766D"/>
    <w:rsid w:val="3CC750BF"/>
    <w:rsid w:val="3D4C44E6"/>
    <w:rsid w:val="3D7F55DD"/>
    <w:rsid w:val="3E9D0B0A"/>
    <w:rsid w:val="3F4343E8"/>
    <w:rsid w:val="3FCB17B4"/>
    <w:rsid w:val="3FFDD063"/>
    <w:rsid w:val="3FFF3B6A"/>
    <w:rsid w:val="41B96BE3"/>
    <w:rsid w:val="444529B0"/>
    <w:rsid w:val="456A0921"/>
    <w:rsid w:val="486F357E"/>
    <w:rsid w:val="4B2E2485"/>
    <w:rsid w:val="4B306168"/>
    <w:rsid w:val="4B593C75"/>
    <w:rsid w:val="4BC05D87"/>
    <w:rsid w:val="4BFCC5C1"/>
    <w:rsid w:val="4D5B38F6"/>
    <w:rsid w:val="4D774108"/>
    <w:rsid w:val="4E0C2A7A"/>
    <w:rsid w:val="4E913305"/>
    <w:rsid w:val="4F870321"/>
    <w:rsid w:val="50395ABF"/>
    <w:rsid w:val="50F83BA8"/>
    <w:rsid w:val="51B82A14"/>
    <w:rsid w:val="52C61609"/>
    <w:rsid w:val="53F9BE82"/>
    <w:rsid w:val="547A66A6"/>
    <w:rsid w:val="55FE9120"/>
    <w:rsid w:val="564C3A10"/>
    <w:rsid w:val="5677BA1C"/>
    <w:rsid w:val="57364B06"/>
    <w:rsid w:val="5753522A"/>
    <w:rsid w:val="577F94E1"/>
    <w:rsid w:val="579518DF"/>
    <w:rsid w:val="5A307F33"/>
    <w:rsid w:val="5A84764A"/>
    <w:rsid w:val="5A851901"/>
    <w:rsid w:val="5BE23598"/>
    <w:rsid w:val="5C361105"/>
    <w:rsid w:val="5C5A1030"/>
    <w:rsid w:val="5C6348CD"/>
    <w:rsid w:val="5D2E5E42"/>
    <w:rsid w:val="5D752585"/>
    <w:rsid w:val="5E8A398A"/>
    <w:rsid w:val="5EC135E3"/>
    <w:rsid w:val="601259E5"/>
    <w:rsid w:val="607246D5"/>
    <w:rsid w:val="60743460"/>
    <w:rsid w:val="61E41603"/>
    <w:rsid w:val="63FF407E"/>
    <w:rsid w:val="6450191D"/>
    <w:rsid w:val="650F6997"/>
    <w:rsid w:val="65AB0E8D"/>
    <w:rsid w:val="66287D10"/>
    <w:rsid w:val="664B139D"/>
    <w:rsid w:val="67154A1D"/>
    <w:rsid w:val="674D25F0"/>
    <w:rsid w:val="67BF8525"/>
    <w:rsid w:val="67D0240D"/>
    <w:rsid w:val="68316249"/>
    <w:rsid w:val="68754C6D"/>
    <w:rsid w:val="68E52212"/>
    <w:rsid w:val="6A682DD1"/>
    <w:rsid w:val="6A701C86"/>
    <w:rsid w:val="6BB52D67"/>
    <w:rsid w:val="6BBF69E4"/>
    <w:rsid w:val="6C937EAD"/>
    <w:rsid w:val="6D621221"/>
    <w:rsid w:val="6EB03442"/>
    <w:rsid w:val="6F6F651C"/>
    <w:rsid w:val="6FDF9C9B"/>
    <w:rsid w:val="6FE75F32"/>
    <w:rsid w:val="6FEF9B44"/>
    <w:rsid w:val="703D260A"/>
    <w:rsid w:val="730A213A"/>
    <w:rsid w:val="73B8BA50"/>
    <w:rsid w:val="73CB5EED"/>
    <w:rsid w:val="73E99527"/>
    <w:rsid w:val="75E82803"/>
    <w:rsid w:val="76DF68EA"/>
    <w:rsid w:val="76F6AA65"/>
    <w:rsid w:val="779C67B0"/>
    <w:rsid w:val="77EDCAF4"/>
    <w:rsid w:val="79B98B91"/>
    <w:rsid w:val="79DA2CB8"/>
    <w:rsid w:val="79EB4537"/>
    <w:rsid w:val="79F14409"/>
    <w:rsid w:val="79F73567"/>
    <w:rsid w:val="7A057B0C"/>
    <w:rsid w:val="7A546ECE"/>
    <w:rsid w:val="7AD63D87"/>
    <w:rsid w:val="7B10ADA9"/>
    <w:rsid w:val="7BB0282A"/>
    <w:rsid w:val="7BF86A7D"/>
    <w:rsid w:val="7C706E23"/>
    <w:rsid w:val="7DE71E07"/>
    <w:rsid w:val="7E2D7855"/>
    <w:rsid w:val="7E3A63DB"/>
    <w:rsid w:val="7E7F0292"/>
    <w:rsid w:val="7ECFE640"/>
    <w:rsid w:val="7EE6D3E4"/>
    <w:rsid w:val="7EEDE30D"/>
    <w:rsid w:val="7EFB9309"/>
    <w:rsid w:val="7F493A40"/>
    <w:rsid w:val="7F8F09A8"/>
    <w:rsid w:val="7FB747AE"/>
    <w:rsid w:val="7FDD0728"/>
    <w:rsid w:val="7FEE558C"/>
    <w:rsid w:val="7FF68FAB"/>
    <w:rsid w:val="7FFE83F4"/>
    <w:rsid w:val="8EA7F12A"/>
    <w:rsid w:val="8F1A7CBE"/>
    <w:rsid w:val="9F57A5BA"/>
    <w:rsid w:val="BF5D7D63"/>
    <w:rsid w:val="BFB7EEED"/>
    <w:rsid w:val="BFFE2374"/>
    <w:rsid w:val="C5EBC444"/>
    <w:rsid w:val="CDDF93C1"/>
    <w:rsid w:val="CEC7691E"/>
    <w:rsid w:val="D77E1B99"/>
    <w:rsid w:val="D7BBEBDA"/>
    <w:rsid w:val="DDFF4A94"/>
    <w:rsid w:val="DE5BD2A0"/>
    <w:rsid w:val="DFBB8200"/>
    <w:rsid w:val="DFDDE3E3"/>
    <w:rsid w:val="E7DA186B"/>
    <w:rsid w:val="EBFEE460"/>
    <w:rsid w:val="EBFF151A"/>
    <w:rsid w:val="EDDDB413"/>
    <w:rsid w:val="EFDFDD12"/>
    <w:rsid w:val="F1EF09F7"/>
    <w:rsid w:val="F5FD4FC3"/>
    <w:rsid w:val="F7E7AE41"/>
    <w:rsid w:val="F7FB8D0D"/>
    <w:rsid w:val="F8AEF18F"/>
    <w:rsid w:val="F91F2F27"/>
    <w:rsid w:val="F9F257E3"/>
    <w:rsid w:val="F9FF170A"/>
    <w:rsid w:val="FA7C2DB9"/>
    <w:rsid w:val="FBF666F2"/>
    <w:rsid w:val="FBF6A07A"/>
    <w:rsid w:val="FBF77EA1"/>
    <w:rsid w:val="FC9DB6D8"/>
    <w:rsid w:val="FD5756BA"/>
    <w:rsid w:val="FDC3AE06"/>
    <w:rsid w:val="FDEFD0A9"/>
    <w:rsid w:val="FF756322"/>
    <w:rsid w:val="FFFF4B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3"/>
    <w:qFormat/>
    <w:uiPriority w:val="0"/>
    <w:pPr>
      <w:tabs>
        <w:tab w:val="center" w:pos="4513"/>
        <w:tab w:val="right" w:pos="9026"/>
      </w:tabs>
      <w:snapToGrid w:val="0"/>
      <w:jc w:val="left"/>
    </w:pPr>
    <w:rPr>
      <w:sz w:val="18"/>
      <w:szCs w:val="18"/>
    </w:rPr>
  </w:style>
  <w:style w:type="paragraph" w:styleId="5">
    <w:name w:val="header"/>
    <w:basedOn w:val="1"/>
    <w:link w:val="12"/>
    <w:qFormat/>
    <w:uiPriority w:val="0"/>
    <w:pPr>
      <w:tabs>
        <w:tab w:val="center" w:pos="4513"/>
        <w:tab w:val="right" w:pos="902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 w:type="character" w:customStyle="1" w:styleId="14">
    <w:name w:val="font21"/>
    <w:basedOn w:val="9"/>
    <w:qFormat/>
    <w:uiPriority w:val="0"/>
    <w:rPr>
      <w:rFonts w:hint="eastAsia" w:ascii="仿宋_GB2312" w:eastAsia="仿宋_GB2312" w:cs="仿宋_GB2312"/>
      <w:color w:val="000000"/>
      <w:sz w:val="22"/>
      <w:szCs w:val="22"/>
      <w:u w:val="none"/>
    </w:rPr>
  </w:style>
  <w:style w:type="character" w:customStyle="1" w:styleId="15">
    <w:name w:val="font31"/>
    <w:basedOn w:val="9"/>
    <w:qFormat/>
    <w:uiPriority w:val="0"/>
    <w:rPr>
      <w:rFonts w:hint="eastAsia" w:ascii="仿宋_GB2312" w:eastAsia="仿宋_GB2312" w:cs="仿宋_GB2312"/>
      <w:color w:val="000000"/>
      <w:sz w:val="22"/>
      <w:szCs w:val="22"/>
      <w:u w:val="none"/>
    </w:rPr>
  </w:style>
  <w:style w:type="character" w:customStyle="1" w:styleId="16">
    <w:name w:val="font11"/>
    <w:basedOn w:val="9"/>
    <w:qFormat/>
    <w:uiPriority w:val="0"/>
    <w:rPr>
      <w:rFonts w:hint="eastAsia" w:ascii="微软雅黑" w:hAnsi="微软雅黑" w:eastAsia="微软雅黑" w:cs="微软雅黑"/>
      <w:color w:val="000000"/>
      <w:sz w:val="24"/>
      <w:szCs w:val="24"/>
      <w:u w:val="none"/>
    </w:r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5134</Words>
  <Characters>5174</Characters>
  <Lines>128</Lines>
  <Paragraphs>36</Paragraphs>
  <TotalTime>0</TotalTime>
  <ScaleCrop>false</ScaleCrop>
  <LinksUpToDate>false</LinksUpToDate>
  <CharactersWithSpaces>5253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2025-11-20T18:17:00Z</dcterms:created>
  <dc:creator>Vivi</dc:creator>
  <cp:lastModifiedBy>李晓梦</cp:lastModifiedBy>
  <dcterms:modified xsi:type="dcterms:W3CDTF">2025-11-20T14:48:30Z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7DBE7F84E0E34C6D83C829AE82301C49_13</vt:lpwstr>
  </property>
  <property fmtid="{D5CDD505-2E9C-101B-9397-08002B2CF9AE}" pid="4" name="KSOTemplateDocerSaveRecord">
    <vt:lpwstr>eyJoZGlkIjoiOGE2MDc2NTAwYmFiMTliODNjOWQ4MjhmZWYxMzc5OGYiLCJ1c2VySWQiOiIxMTY2ODQ3MDQ5In0=</vt:lpwstr>
  </property>
  <property fmtid="{D5CDD505-2E9C-101B-9397-08002B2CF9AE}" pid="5" name="MSIP_Label_defa4170-0d19-0005-0004-bc88714345d2_Enabled">
    <vt:lpwstr>true</vt:lpwstr>
  </property>
  <property fmtid="{D5CDD505-2E9C-101B-9397-08002B2CF9AE}" pid="6" name="MSIP_Label_defa4170-0d19-0005-0004-bc88714345d2_SetDate">
    <vt:lpwstr>2025-08-24T15:44:10Z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034e8975-5a63-4568-8878-b6df75494818</vt:lpwstr>
  </property>
  <property fmtid="{D5CDD505-2E9C-101B-9397-08002B2CF9AE}" pid="10" name="MSIP_Label_defa4170-0d19-0005-0004-bc88714345d2_ActionId">
    <vt:lpwstr>f8d84157-666c-4a74-ae67-c6ccdf1b2006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